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28E9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67690" cy="1166495"/>
            <wp:effectExtent l="0" t="0" r="3810" b="0"/>
            <wp:docPr id="3" name="Picture 3" descr="Description: АРГАЧЛАЛ БАТЛАХ ТУХАЙ /Газар эзэмших, ашиглах эрхийг шилжүүлсний орлогод албан татвар ногдуула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АРГАЧЛАЛ БАТЛАХ ТУХАЙ /Газар эзэмших, ашиглах эрхийг шилжүүлсний орлогод албан татвар ногдуула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28E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5A28E9">
      <w:pPr>
        <w:jc w:val="center"/>
        <w:divId w:val="164115646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САНГИЙН 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28E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12 дугаар сарын 25-ны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28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28E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5A28E9">
      <w:pPr>
        <w:rPr>
          <w:rFonts w:ascii="Arial" w:eastAsia="Times New Roman" w:hAnsi="Arial" w:cs="Arial"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379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АРГАЧЛАЛ БАТЛАХ ТУХАЙ</w:t>
      </w:r>
    </w:p>
    <w:p w:rsidR="00000000" w:rsidRDefault="005A28E9">
      <w:pPr>
        <w:pStyle w:val="NormalWeb"/>
        <w:ind w:firstLine="720"/>
        <w:divId w:val="1862139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Аж ахуйн нэгжийн орлогын албан татварын тухай хуулийн 16 дугаар зүйлийн 16.13 дахь </w:t>
      </w:r>
      <w:r>
        <w:rPr>
          <w:rFonts w:ascii="Arial" w:hAnsi="Arial" w:cs="Arial"/>
          <w:sz w:val="20"/>
          <w:szCs w:val="20"/>
        </w:rPr>
        <w:t>хэсэг, Хувь хүний орлогын албан татварын тухай хуулийн 20 дугаар зүйлийн 20.1.6 дахь заалтыг тус тус үндэслэн ТУШААХ нь: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         Нэг. Газар эзэмших, ашиглах эрхийг шилжүүлсний орлогод албан татвар ногдуулах,татварын ногдлыг тодорхойлох аргачлал”-ыг хавср</w:t>
      </w:r>
      <w:r>
        <w:rPr>
          <w:rFonts w:ascii="Arial" w:eastAsia="Times New Roman" w:hAnsi="Arial" w:cs="Arial"/>
          <w:b/>
          <w:bCs/>
          <w:sz w:val="20"/>
          <w:szCs w:val="20"/>
        </w:rPr>
        <w:t>алтаар баталсугай.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         Хоёр. Батлагдсан аргачлалын хэрэгжилтийг хангаж ажиллахыг Татварын ерөнхий газар /Д.Занданбат/-т үүрэг болгосугай.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         Гурав. Энэхүү тушаалын хэрэгжилтэд хяналт тавьж ажиллахыг Төсвийн бодлого, төлөвлөлтийн газар /Ж.Ганба</w:t>
      </w:r>
      <w:r>
        <w:rPr>
          <w:rFonts w:ascii="Arial" w:eastAsia="Times New Roman" w:hAnsi="Arial" w:cs="Arial"/>
          <w:b/>
          <w:bCs/>
          <w:sz w:val="20"/>
          <w:szCs w:val="20"/>
        </w:rPr>
        <w:t>т/, Төсвийн хяналт, эрсдэлийн удирдлагын газар/Н.Нарангэрэл/-т тус тус даалгасугай.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 САЙД                             Ч.ХҮРЭЛБААТАР</w:t>
      </w: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right"/>
        <w:divId w:val="186213959"/>
      </w:pPr>
      <w:r>
        <w:rPr>
          <w:rFonts w:ascii="Arial" w:hAnsi="Arial" w:cs="Arial"/>
          <w:sz w:val="24"/>
          <w:szCs w:val="24"/>
          <w:lang w:val="mn-MN"/>
        </w:rPr>
        <w:lastRenderedPageBreak/>
        <w:t>Сангийн сайдын 2017 оны </w:t>
      </w:r>
      <w:r>
        <w:rPr>
          <w:rFonts w:ascii="Arial" w:hAnsi="Arial" w:cs="Arial"/>
        </w:rPr>
        <w:t xml:space="preserve">379 дүгээр </w:t>
      </w:r>
      <w:r>
        <w:rPr>
          <w:rFonts w:ascii="Arial" w:hAnsi="Arial" w:cs="Arial"/>
        </w:rPr>
        <w:t>тушаалын хавсралт</w:t>
      </w:r>
    </w:p>
    <w:p w:rsidR="00000000" w:rsidRDefault="005A28E9">
      <w:pPr>
        <w:jc w:val="center"/>
        <w:divId w:val="186213959"/>
      </w:pPr>
      <w:r>
        <w:rPr>
          <w:rFonts w:ascii="Arial" w:hAnsi="Arial" w:cs="Arial"/>
          <w:b/>
          <w:sz w:val="24"/>
          <w:szCs w:val="24"/>
          <w:lang w:val="mn-MN"/>
        </w:rPr>
        <w:t> ГАЗАР ЭЗЭМШИХ, АШИГЛАХ ЭРХ БОРЛУУЛСНЫ ОРЛОГОД АЛБАН ТАТВАР </w:t>
      </w:r>
      <w:r>
        <w:rPr>
          <w:rFonts w:ascii="Arial" w:hAnsi="Arial" w:cs="Arial"/>
          <w:b/>
          <w:bCs/>
          <w:lang w:val="mn-MN"/>
        </w:rPr>
        <w:t>НОГДУУЛАХ, ТАТВАРЫН НОГДЛЫГ ТОДОРХОЙЛОХ АРГАЧЛАЛ </w:t>
      </w:r>
    </w:p>
    <w:p w:rsidR="00000000" w:rsidRDefault="005A28E9">
      <w:pPr>
        <w:jc w:val="center"/>
        <w:divId w:val="186213959"/>
      </w:pPr>
      <w:r>
        <w:rPr>
          <w:rFonts w:ascii="Arial" w:hAnsi="Arial" w:cs="Arial"/>
          <w:b/>
          <w:sz w:val="24"/>
          <w:szCs w:val="24"/>
          <w:lang w:val="mn-MN"/>
        </w:rPr>
        <w:t>Нэг. Нийтлэг үндэслэл</w:t>
      </w:r>
      <w:r>
        <w:rPr>
          <w:rFonts w:ascii="Arial" w:hAnsi="Arial" w:cs="Arial"/>
          <w:b/>
          <w:bCs/>
        </w:rPr>
        <w:t> 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1.1.Аж ахуйн нэгж, хувь хүний газар эзэмших, ашиглах эрх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цаашид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газрын эр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гэ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борлуулсны орлогод албан татвар ногдуулахад энэхүү аргачлалыг баримтална.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 1.2.Газрын эрхтэй этгээд болон тэдгээрийн эцсийн эзэмшигч бусдад шилжүүлсэн хувьцаа, хувь оролцооноос тухайн газрын эрхтэй этгээдийн хувьцаанд ногдох хэмжээгээр газрын эрхийн үнэлг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ээнээс хувь тэнцүүлэн тооцож албан татвар ногдуулах орлогыг тодорхойлно.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00000" w:rsidRDefault="005A28E9">
      <w:pPr>
        <w:jc w:val="center"/>
        <w:divId w:val="186213959"/>
      </w:pPr>
      <w:r>
        <w:rPr>
          <w:rFonts w:ascii="Arial" w:hAnsi="Arial" w:cs="Arial"/>
          <w:b/>
          <w:sz w:val="24"/>
          <w:szCs w:val="24"/>
          <w:lang w:val="mn-MN"/>
        </w:rPr>
        <w:t> </w:t>
      </w:r>
    </w:p>
    <w:p w:rsidR="00000000" w:rsidRDefault="005A28E9">
      <w:pPr>
        <w:jc w:val="center"/>
        <w:divId w:val="186213959"/>
      </w:pPr>
      <w:r>
        <w:rPr>
          <w:rFonts w:ascii="Arial" w:hAnsi="Arial" w:cs="Arial"/>
          <w:b/>
          <w:sz w:val="24"/>
          <w:szCs w:val="24"/>
          <w:lang w:val="mn-MN"/>
        </w:rPr>
        <w:t xml:space="preserve">Хоёр. Албан татвар ногдуулах орлогыг тодорхойлох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 2.1.Газрын эрх борлуулсны үнэлгээг тооцохдоо Газрын тухай хуулийн 19 дүгээр зүйлийн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19.1.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-д заасны дагуу эрх бүхий байгууллагаас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баталсан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Г</w:t>
      </w:r>
      <w:r>
        <w:rPr>
          <w:rFonts w:ascii="Arial" w:hAnsi="Arial" w:cs="Arial"/>
          <w:sz w:val="24"/>
          <w:szCs w:val="24"/>
          <w:shd w:val="clear" w:color="auto" w:fill="FFFFFF"/>
        </w:rPr>
        <w:t>аза</w:t>
      </w:r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эзэмших, ашиглах эрхий</w:t>
      </w:r>
      <w:r>
        <w:rPr>
          <w:rFonts w:ascii="Arial" w:hAnsi="Arial" w:cs="Arial"/>
          <w:sz w:val="24"/>
          <w:szCs w:val="24"/>
          <w:shd w:val="clear" w:color="auto" w:fill="FFFFFF"/>
        </w:rPr>
        <w:t>н</w:t>
      </w:r>
      <w:r>
        <w:t xml:space="preserve"> </w:t>
      </w:r>
      <w:r>
        <w:t>гэрчилгээни</w:t>
      </w:r>
      <w:r>
        <w:t>й</w:t>
      </w:r>
      <w:r>
        <w:t> 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дуудлага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худалдаан</w:t>
      </w:r>
      <w:r>
        <w:rPr>
          <w:rFonts w:ascii="Arial" w:hAnsi="Arial" w:cs="Arial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анхны үнийг тодорхойлох аргачлал”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ын дагуу тооцсон дуудлага худалдааны анхны үнээс багагүй байх зарчмыг баримтална.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 2.2.Энэ аргачлалын 2.3, 2.4 дэх хэсэгт зааснаас бусад тохиолдолд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тухайн газрыг дуудлага худалдаагаар авахад шалгарсан үнэ болон татвар төлөгчөөс мэдүүлсэн газрын эрх худалдах, худалдан авах гэрээний үнийн аль өндөр үнээр газрын эрхийн борлуулалтын үнийг тооцно.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lang w:val="mn-MN"/>
        </w:rPr>
        <w:t> 2.3.Газрын эрхийг өөр төрлийн хөрөнгө, үйл ажиллагаагаар</w:t>
      </w:r>
      <w:r>
        <w:rPr>
          <w:rFonts w:ascii="Arial" w:hAnsi="Arial" w:cs="Arial"/>
          <w:sz w:val="24"/>
          <w:szCs w:val="24"/>
          <w:lang w:val="mn-MN"/>
        </w:rPr>
        <w:t xml:space="preserve"> харилцан солилцсон, эсхүл дуудлага худалдаагаар олгогдоогүй газрын эрх шилжүүлж байгаа тохиолдолд борлуулалтын үнэлгээг энэ аргачлалын 2.1-д заасан үнэ болон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татвар төлөгчөөс ирүүлсэн газрын эрх шилжүүлэх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гэрээний үнийн аль өндөр үнээр газрын эрхийн борлу</w:t>
      </w:r>
      <w:r>
        <w:rPr>
          <w:rFonts w:ascii="Arial" w:hAnsi="Arial" w:cs="Arial"/>
          <w:sz w:val="24"/>
          <w:szCs w:val="24"/>
          <w:lang w:val="mn-MN"/>
        </w:rPr>
        <w:t xml:space="preserve">улалтын үнийг тооцно.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lang w:val="mn-MN"/>
        </w:rPr>
        <w:t> 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mn-MN"/>
        </w:rPr>
        <w:t>4.</w:t>
      </w:r>
      <w:r>
        <w:rPr>
          <w:rFonts w:ascii="Arial" w:hAnsi="Arial" w:cs="Arial"/>
          <w:sz w:val="24"/>
          <w:szCs w:val="24"/>
        </w:rPr>
        <w:t>Бусдаа</w:t>
      </w:r>
      <w:r>
        <w:rPr>
          <w:rFonts w:ascii="Arial" w:hAnsi="Arial" w:cs="Arial"/>
          <w:sz w:val="24"/>
          <w:szCs w:val="24"/>
          <w:lang w:val="mn-MN"/>
        </w:rPr>
        <w:t xml:space="preserve">с үнэ төлбөргүй авсан газрын эрхийн орлогыг </w:t>
      </w:r>
      <w:r>
        <w:rPr>
          <w:rFonts w:ascii="Arial" w:hAnsi="Arial" w:cs="Arial"/>
          <w:sz w:val="24"/>
          <w:szCs w:val="24"/>
        </w:rPr>
        <w:t>энэ аргачлалын 2.</w:t>
      </w:r>
      <w:r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 xml:space="preserve">-д заасан үнэлгээнд </w:t>
      </w:r>
      <w:r>
        <w:rPr>
          <w:rFonts w:ascii="Arial" w:hAnsi="Arial" w:cs="Arial"/>
          <w:sz w:val="24"/>
          <w:szCs w:val="24"/>
          <w:lang w:val="mn-MN"/>
        </w:rPr>
        <w:t>үндэслэн</w:t>
      </w:r>
      <w:r>
        <w:rPr>
          <w:rFonts w:ascii="Arial" w:hAnsi="Arial" w:cs="Arial"/>
          <w:sz w:val="24"/>
          <w:szCs w:val="24"/>
          <w:lang w:val="mn-MN"/>
        </w:rPr>
        <w:t xml:space="preserve"> Татварын ерөнхий хуулийн 48 дугаар зүйлд заасны дагуу шууд бус </w:t>
      </w:r>
      <w:r>
        <w:rPr>
          <w:rFonts w:ascii="Arial" w:hAnsi="Arial" w:cs="Arial"/>
          <w:sz w:val="24"/>
          <w:szCs w:val="24"/>
          <w:lang w:val="mn-MN"/>
        </w:rPr>
        <w:t xml:space="preserve">аргаар тодорхойлох ба харилцан хамааралтай этгээдүүдийн хувьд бодит үнийн арга, харилцан хамааралгүй этгээдүүдийн хувьд жишиг үнийн аргад үндэслэнэ.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lang w:val="mn-MN"/>
        </w:rPr>
        <w:t xml:space="preserve"> 2.5. </w:t>
      </w:r>
      <w:r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азрын эрхтэй этгээд, түүний эцсийн эзэмшигч хувьца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хувь оролцоогоо бусдад шилжүүлэх замаар газрын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эрхийн эцсийн эзэмшигч өөрчлөгдсөн тохиолдолд тухайн эрхийг шилжүүлснээс олсон орлогыг тодорхойлохдоо энэ аргачлалын 2.1-д заасны дагуу тооцсон үнэлгээнээс тухайн хувь эзэмшигчийн шилжүүлсэн хувьцаа, хувь оролцоонд ногдох хэмжээгээр хувь тэнцүүлэн тооцно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shd w:val="clear" w:color="auto" w:fill="FFFFFF"/>
        </w:rPr>
        <w:t> 2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6. Энэ аргачлалын 2.5-д заасан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эцсийн эзэмшиг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ч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гэдгийг Хуулийн этгээдийн улсын бүртгэлийн тухай хуулийн 3 дугаар зүйлийн 3.1.11-д зааснаар ойлгох ба эзэмшигчийн хувьцаанд ногдох хэмжээг хувь тэнцүүлэн тооцох аргачлалыг жишээгээр харуулба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л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sz w:val="24"/>
          <w:szCs w:val="24"/>
          <w:lang w:val="mn-MN"/>
        </w:rPr>
        <w:t> 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b/>
          <w:sz w:val="24"/>
          <w:szCs w:val="24"/>
          <w:lang w:val="mn-MN"/>
        </w:rPr>
        <w:t> 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5080"/>
            <wp:docPr id="2" name="Picture 2" descr="Description: C:\uploads\images\379.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ploads\images\379.1(1)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28E9">
      <w:pPr>
        <w:shd w:val="clear" w:color="auto" w:fill="FFFFFF"/>
        <w:ind w:firstLine="720"/>
        <w:jc w:val="both"/>
        <w:textAlignment w:val="top"/>
        <w:divId w:val="186213959"/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5080"/>
            <wp:docPr id="1" name="Picture 1" descr="Description: C:\uploads\images\37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ploads\images\379.2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28E9">
      <w:pPr>
        <w:divId w:val="186213959"/>
        <w:rPr>
          <w:rFonts w:ascii="Times New Roman" w:eastAsia="Times New Roman" w:hAnsi="Times New Roman"/>
          <w:sz w:val="24"/>
          <w:szCs w:val="24"/>
        </w:rPr>
      </w:pPr>
    </w:p>
    <w:p w:rsidR="00000000" w:rsidRDefault="005A28E9">
      <w:pPr>
        <w:pStyle w:val="NormalWeb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divId w:val="186213959"/>
        <w:rPr>
          <w:rFonts w:ascii="Times New Roman" w:eastAsia="Times New Roman" w:hAnsi="Times New Roman"/>
          <w:sz w:val="24"/>
          <w:szCs w:val="24"/>
        </w:rPr>
      </w:pP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  <w:r>
        <w:rPr>
          <w:rFonts w:ascii="Arial" w:hAnsi="Arial" w:cs="Arial"/>
          <w:lang w:val="mn-MN"/>
        </w:rPr>
        <w:t xml:space="preserve">  </w:t>
      </w:r>
    </w:p>
    <w:p w:rsidR="00000000" w:rsidRDefault="005A28E9">
      <w:pPr>
        <w:divId w:val="186213959"/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both"/>
        <w:divId w:val="186213959"/>
      </w:pPr>
      <w:r>
        <w:rPr>
          <w:rFonts w:ascii="Arial" w:hAnsi="Arial" w:cs="Arial"/>
        </w:rPr>
        <w:t> </w:t>
      </w:r>
    </w:p>
    <w:p w:rsidR="00000000" w:rsidRDefault="005A28E9">
      <w:pPr>
        <w:pStyle w:val="NormalWeb"/>
        <w:spacing w:before="0" w:beforeAutospacing="0" w:after="0" w:afterAutospacing="0"/>
        <w:jc w:val="center"/>
        <w:divId w:val="186213959"/>
      </w:pPr>
      <w:r>
        <w:rPr>
          <w:rFonts w:ascii="Arial" w:hAnsi="Arial" w:cs="Arial"/>
          <w:lang w:val="mn-MN"/>
        </w:rPr>
        <w:t> </w:t>
      </w:r>
    </w:p>
    <w:p w:rsidR="00000000" w:rsidRDefault="005A28E9">
      <w:pPr>
        <w:divId w:val="186213959"/>
        <w:rPr>
          <w:rFonts w:ascii="Times New Roman" w:eastAsia="Times New Roman" w:hAnsi="Times New Roman"/>
          <w:sz w:val="24"/>
          <w:szCs w:val="24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p w:rsidR="005A28E9" w:rsidRDefault="005A28E9">
      <w:pPr>
        <w:jc w:val="center"/>
        <w:divId w:val="186213959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5A2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2B2A"/>
    <w:rsid w:val="00402B2A"/>
    <w:rsid w:val="005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uploads\images\379.2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uploads\images\379.1(1).png" TargetMode="Externa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2018-03-05T10:05:00Z</dcterms:created>
  <dcterms:modified xsi:type="dcterms:W3CDTF">2018-03-05T10:05:00Z</dcterms:modified>
</cp:coreProperties>
</file>