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23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ТӨЛӨВЛӨГӨӨ БАТЛАХ ТУХАЙ(Уур амьсгалы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ЛӨВЛӨГӨӨ БАТЛАХ ТУХАЙ(Уур амьсгалы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31234">
      <w:pPr>
        <w:spacing w:line="360" w:lineRule="auto"/>
        <w:jc w:val="center"/>
        <w:rPr>
          <w:rFonts w:ascii="Times New Roman" w:eastAsia="Times New Roman" w:hAnsi="Times New Roman"/>
          <w:sz w:val="24"/>
          <w:szCs w:val="24"/>
          <w:lang w:val="mn-MN"/>
        </w:rPr>
      </w:pPr>
    </w:p>
    <w:p w:rsidR="00000000" w:rsidRDefault="00431234">
      <w:pPr>
        <w:spacing w:line="360" w:lineRule="auto"/>
        <w:jc w:val="center"/>
        <w:divId w:val="140930534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431234">
      <w:pPr>
        <w:spacing w:line="360" w:lineRule="auto"/>
        <w:jc w:val="both"/>
        <w:divId w:val="1409305344"/>
        <w:rPr>
          <w:rFonts w:ascii="Times New Roman" w:eastAsia="Times New Roman" w:hAnsi="Times New Roman"/>
          <w:b/>
          <w:bCs/>
          <w:sz w:val="24"/>
          <w:szCs w:val="24"/>
          <w:lang w:val="mn-MN"/>
        </w:rPr>
      </w:pPr>
    </w:p>
    <w:p w:rsidR="00000000" w:rsidRDefault="00431234">
      <w:pPr>
        <w:spacing w:line="360" w:lineRule="auto"/>
        <w:jc w:val="center"/>
        <w:divId w:val="140930534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ТӨЛӨВЛӨГӨӨ БАТЛАХ ТУХАЙ</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3123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11 дүгээр </w:t>
            </w:r>
          </w:p>
          <w:p w:rsidR="00000000" w:rsidRDefault="0043123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9-ний өдөр </w:t>
            </w:r>
          </w:p>
        </w:tc>
        <w:tc>
          <w:tcPr>
            <w:tcW w:w="1650" w:type="pct"/>
            <w:tcMar>
              <w:top w:w="15" w:type="dxa"/>
              <w:left w:w="15" w:type="dxa"/>
              <w:bottom w:w="15" w:type="dxa"/>
              <w:right w:w="15" w:type="dxa"/>
            </w:tcMar>
            <w:vAlign w:val="center"/>
            <w:hideMark/>
          </w:tcPr>
          <w:p w:rsidR="00000000" w:rsidRDefault="0043123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3123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31234">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317</w:t>
      </w:r>
    </w:p>
    <w:p w:rsidR="00000000" w:rsidRDefault="00431234">
      <w:pPr>
        <w:spacing w:line="360" w:lineRule="auto"/>
        <w:jc w:val="both"/>
        <w:rPr>
          <w:rFonts w:ascii="Times New Roman" w:eastAsia="Times New Roman" w:hAnsi="Times New Roman"/>
          <w:b/>
          <w:bCs/>
          <w:sz w:val="24"/>
          <w:szCs w:val="24"/>
          <w:lang w:val="mn-MN"/>
        </w:rPr>
      </w:pPr>
    </w:p>
    <w:p w:rsidR="00000000" w:rsidRDefault="00431234">
      <w:pPr>
        <w:spacing w:line="360" w:lineRule="auto"/>
        <w:ind w:firstLine="720"/>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ТОГТООХ нь: </w:t>
      </w:r>
    </w:p>
    <w:p w:rsidR="00000000" w:rsidRDefault="00431234">
      <w:pPr>
        <w:pStyle w:val="NormalWeb"/>
        <w:spacing w:before="0" w:beforeAutospacing="0" w:after="0" w:afterAutospacing="0" w:line="360" w:lineRule="auto"/>
        <w:ind w:firstLine="720"/>
        <w:jc w:val="both"/>
        <w:rPr>
          <w:lang w:val="mn-MN"/>
        </w:rPr>
      </w:pPr>
      <w:r>
        <w:rPr>
          <w:lang w:val="mn-MN"/>
        </w:rPr>
        <w:t xml:space="preserve">1. Улсын Их Хурлын </w:t>
      </w:r>
      <w:r>
        <w:rPr>
          <w:lang w:val="mn-MN"/>
        </w:rPr>
        <w:t xml:space="preserve">2011 оны 1 дүгээр сарын 6-ны өдрийн 2 дугаар тогтоолоор баталсан “Уур амьсгалын өөрчлөлтийн үндэсний хөтөлбөр”-ийн эхний үе шатанд хэрэгжүүлэх үйл ажиллагааны төлөвлөгөөг хавсралт ёсоор баталсугай. </w:t>
      </w:r>
    </w:p>
    <w:p w:rsidR="00000000" w:rsidRDefault="00431234">
      <w:pPr>
        <w:pStyle w:val="NormalWeb"/>
        <w:spacing w:before="0" w:beforeAutospacing="0" w:after="0" w:afterAutospacing="0" w:line="360" w:lineRule="auto"/>
        <w:ind w:firstLine="720"/>
        <w:jc w:val="both"/>
        <w:rPr>
          <w:lang w:val="mn-MN"/>
        </w:rPr>
      </w:pPr>
      <w:r>
        <w:rPr>
          <w:lang w:val="mn-MN"/>
        </w:rPr>
        <w:t xml:space="preserve">2. Төлөвлөгөөг </w:t>
      </w:r>
      <w:r>
        <w:rPr>
          <w:lang w:val="mn-MN"/>
        </w:rPr>
        <w:t>хэрэгжүүлэхтэй холбогдон гарах зардлыг жил бүрийн эдийн засаг, нийгмийг хөгжүүлэх үндсэн чиглэл, улсын төсөвт тусган бусад эх үүсвэрээс санхүүжүүлэх арга хэмжээ авахыг Сангийн сайд С.Баярцогт, Байгаль орчин, аялал жуулчлалын сайд Л.Гансүх, Хүнс, хөдөө аж а</w:t>
      </w:r>
      <w:r>
        <w:rPr>
          <w:lang w:val="mn-MN"/>
        </w:rPr>
        <w:t>хуй, хөнгөн үйлдвэрийн сайд Т.Бадамжунай, Зам, тээвэр, барилга, хот байгуулалтын сайд Х.Баттулга, Эрдэс баялаг, эрчим хүчний сайд Д.Зоригт, Боловсрол, соёл, шинжлэх ухааны сайд Ё.Отгонбаяр, Батлан хамгаалахын сайд Л.Болд, аймаг, нийслэлийн Засаг дарга нарт</w:t>
      </w:r>
      <w:r>
        <w:rPr>
          <w:lang w:val="mn-MN"/>
        </w:rPr>
        <w:t xml:space="preserve"> даалгасугай. </w:t>
      </w:r>
    </w:p>
    <w:p w:rsidR="00000000" w:rsidRDefault="00431234">
      <w:pPr>
        <w:pStyle w:val="NormalWeb"/>
        <w:spacing w:before="0" w:beforeAutospacing="0" w:after="0" w:afterAutospacing="0" w:line="360" w:lineRule="auto"/>
        <w:ind w:firstLine="720"/>
        <w:jc w:val="both"/>
        <w:rPr>
          <w:lang w:val="mn-MN"/>
        </w:rPr>
      </w:pPr>
      <w:r>
        <w:rPr>
          <w:lang w:val="mn-MN"/>
        </w:rPr>
        <w:t xml:space="preserve">3. Хөтөлбөрийг хэрэгжүүлэх үйл ажиллагааны төлөвлөгөөний хэрэгжилтийг зохион байгуулж, салбар дундын ажлын уялдааг ханган, хяналт тавьж ажиллахыг Байгаль орчин, аялал жуулчлалын сайд Л.Гансүхэд үүрэг болгосугай. </w:t>
      </w:r>
    </w:p>
    <w:p w:rsidR="00000000" w:rsidRDefault="00431234">
      <w:pPr>
        <w:spacing w:line="360" w:lineRule="auto"/>
        <w:ind w:left="720"/>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Монгол Улсын Ерөнхий сайд   </w:t>
      </w:r>
      <w:r>
        <w:rPr>
          <w:rFonts w:ascii="Times New Roman" w:eastAsia="Times New Roman" w:hAnsi="Times New Roman"/>
          <w:bCs/>
          <w:sz w:val="24"/>
          <w:szCs w:val="24"/>
          <w:lang w:val="mn-MN"/>
        </w:rPr>
        <w:t xml:space="preserve">                                       С.БАТБОЛД </w:t>
      </w:r>
    </w:p>
    <w:p w:rsidR="00000000" w:rsidRDefault="00431234">
      <w:pPr>
        <w:spacing w:line="360" w:lineRule="auto"/>
        <w:ind w:left="720"/>
        <w:jc w:val="both"/>
        <w:rPr>
          <w:rFonts w:ascii="Times New Roman" w:eastAsia="Times New Roman" w:hAnsi="Times New Roman"/>
          <w:bCs/>
          <w:sz w:val="24"/>
          <w:szCs w:val="24"/>
          <w:lang w:val="mn-MN"/>
        </w:rPr>
      </w:pPr>
      <w:r>
        <w:rPr>
          <w:rFonts w:ascii="Times New Roman" w:eastAsia="Times New Roman" w:hAnsi="Times New Roman"/>
          <w:bCs/>
          <w:sz w:val="24"/>
          <w:szCs w:val="24"/>
          <w:lang w:val="mn-MN"/>
        </w:rPr>
        <w:t>Байгаль орчин, аялал </w:t>
      </w:r>
    </w:p>
    <w:p w:rsidR="00000000" w:rsidRDefault="00431234">
      <w:pPr>
        <w:pStyle w:val="NormalWeb"/>
        <w:spacing w:before="0" w:beforeAutospacing="0" w:after="0" w:afterAutospacing="0" w:line="360" w:lineRule="auto"/>
        <w:ind w:left="720"/>
        <w:jc w:val="both"/>
        <w:rPr>
          <w:lang w:val="mn-MN"/>
        </w:rPr>
      </w:pPr>
      <w:r>
        <w:rPr>
          <w:lang w:val="mn-MN"/>
        </w:rPr>
        <w:t xml:space="preserve">жуулчлалын сайд                                                            Л.ГАНСҮХ </w:t>
      </w:r>
    </w:p>
    <w:p w:rsidR="00000000" w:rsidRDefault="00431234">
      <w:pPr>
        <w:spacing w:line="360" w:lineRule="auto"/>
        <w:rPr>
          <w:rFonts w:ascii="Times New Roman" w:eastAsia="Times New Roman" w:hAnsi="Times New Roman"/>
          <w:sz w:val="24"/>
          <w:szCs w:val="24"/>
          <w:lang w:val="mn-MN"/>
        </w:rPr>
        <w:sectPr w:rsidR="00000000">
          <w:pgSz w:w="12240" w:h="15840"/>
          <w:pgMar w:top="1440" w:right="1800" w:bottom="1440" w:left="1800" w:header="720" w:footer="720" w:gutter="0"/>
          <w:cols w:space="720"/>
          <w:docGrid w:linePitch="360"/>
        </w:sectPr>
      </w:pPr>
    </w:p>
    <w:tbl>
      <w:tblPr>
        <w:tblStyle w:val="TableGrid"/>
        <w:tblW w:w="14599" w:type="dxa"/>
        <w:tblInd w:w="0" w:type="dxa"/>
        <w:tblLook w:val="04A0" w:firstRow="1" w:lastRow="0" w:firstColumn="1" w:lastColumn="0" w:noHBand="0" w:noVBand="1"/>
      </w:tblPr>
      <w:tblGrid>
        <w:gridCol w:w="646"/>
        <w:gridCol w:w="6833"/>
        <w:gridCol w:w="2048"/>
        <w:gridCol w:w="222"/>
        <w:gridCol w:w="1982"/>
        <w:gridCol w:w="283"/>
        <w:gridCol w:w="222"/>
        <w:gridCol w:w="236"/>
        <w:gridCol w:w="1386"/>
        <w:gridCol w:w="741"/>
      </w:tblGrid>
      <w:tr w:rsidR="00000000">
        <w:trPr>
          <w:gridAfter w:val="1"/>
          <w:wAfter w:w="741" w:type="dxa"/>
        </w:trPr>
        <w:tc>
          <w:tcPr>
            <w:tcW w:w="646" w:type="dxa"/>
            <w:tcBorders>
              <w:top w:val="nil"/>
              <w:left w:val="nil"/>
              <w:bottom w:val="nil"/>
              <w:right w:val="nil"/>
            </w:tcBorders>
            <w:vAlign w:val="center"/>
            <w:hideMark/>
          </w:tcPr>
          <w:p w:rsidR="00000000" w:rsidRDefault="00431234">
            <w:pPr>
              <w:rPr>
                <w:rFonts w:ascii="Times New Roman" w:eastAsia="Times New Roman" w:hAnsi="Times New Roman"/>
                <w:sz w:val="20"/>
                <w:szCs w:val="20"/>
              </w:rPr>
            </w:pPr>
          </w:p>
        </w:tc>
        <w:tc>
          <w:tcPr>
            <w:tcW w:w="6833" w:type="dxa"/>
            <w:tcBorders>
              <w:top w:val="nil"/>
              <w:left w:val="nil"/>
              <w:bottom w:val="nil"/>
              <w:right w:val="nil"/>
            </w:tcBorders>
            <w:vAlign w:val="center"/>
            <w:hideMark/>
          </w:tcPr>
          <w:p w:rsidR="00000000" w:rsidRDefault="00431234">
            <w:pPr>
              <w:rPr>
                <w:rFonts w:ascii="Times New Roman" w:eastAsia="Times New Roman" w:hAnsi="Times New Roman"/>
                <w:sz w:val="20"/>
                <w:szCs w:val="20"/>
              </w:rPr>
            </w:pPr>
          </w:p>
        </w:tc>
        <w:tc>
          <w:tcPr>
            <w:tcW w:w="2048" w:type="dxa"/>
            <w:tcBorders>
              <w:top w:val="nil"/>
              <w:left w:val="nil"/>
              <w:bottom w:val="nil"/>
              <w:right w:val="nil"/>
            </w:tcBorders>
            <w:vAlign w:val="center"/>
            <w:hideMark/>
          </w:tcPr>
          <w:p w:rsidR="00000000" w:rsidRDefault="00431234">
            <w:pPr>
              <w:rPr>
                <w:rFonts w:ascii="Times New Roman" w:eastAsia="Times New Roman" w:hAnsi="Times New Roman"/>
                <w:sz w:val="20"/>
                <w:szCs w:val="20"/>
              </w:rPr>
            </w:pPr>
          </w:p>
        </w:tc>
        <w:tc>
          <w:tcPr>
            <w:tcW w:w="4331" w:type="dxa"/>
            <w:gridSpan w:val="6"/>
            <w:tcBorders>
              <w:top w:val="nil"/>
              <w:left w:val="nil"/>
              <w:bottom w:val="nil"/>
              <w:right w:val="nil"/>
            </w:tcBorders>
            <w:vAlign w:val="center"/>
            <w:hideMark/>
          </w:tcPr>
          <w:p w:rsidR="00000000" w:rsidRDefault="00431234">
            <w:pPr>
              <w:ind w:left="720" w:hanging="720"/>
              <w:jc w:val="right"/>
              <w:rPr>
                <w:rFonts w:ascii="Times New Roman" w:eastAsia="Times New Roman" w:hAnsi="Times New Roman"/>
                <w:i/>
                <w:sz w:val="22"/>
                <w:szCs w:val="22"/>
                <w:lang w:val="mn-MN"/>
              </w:rPr>
            </w:pPr>
            <w:r>
              <w:rPr>
                <w:rFonts w:ascii="Times New Roman" w:eastAsia="Times New Roman" w:hAnsi="Times New Roman"/>
                <w:i/>
                <w:sz w:val="22"/>
                <w:szCs w:val="22"/>
                <w:lang w:val="mn-MN"/>
              </w:rPr>
              <w:t xml:space="preserve">Монгол Улсын  Засгийн газрын 2011 оны </w:t>
            </w:r>
          </w:p>
          <w:p w:rsidR="00000000" w:rsidRDefault="00431234">
            <w:pPr>
              <w:ind w:left="720" w:hanging="720"/>
              <w:jc w:val="right"/>
              <w:rPr>
                <w:rFonts w:ascii="Times New Roman" w:eastAsia="Times New Roman" w:hAnsi="Times New Roman"/>
                <w:sz w:val="22"/>
                <w:szCs w:val="22"/>
                <w:lang w:val="mn-MN"/>
              </w:rPr>
            </w:pPr>
            <w:r>
              <w:rPr>
                <w:rFonts w:ascii="Times New Roman" w:eastAsia="Times New Roman" w:hAnsi="Times New Roman"/>
                <w:i/>
                <w:sz w:val="22"/>
                <w:szCs w:val="22"/>
                <w:lang w:val="mn-MN"/>
              </w:rPr>
              <w:t>317 дугаар тогтоолын хавсралт</w:t>
            </w:r>
          </w:p>
        </w:tc>
      </w:tr>
      <w:tr w:rsidR="00000000">
        <w:trPr>
          <w:gridAfter w:val="1"/>
          <w:wAfter w:w="741" w:type="dxa"/>
        </w:trPr>
        <w:tc>
          <w:tcPr>
            <w:tcW w:w="13858" w:type="dxa"/>
            <w:gridSpan w:val="9"/>
            <w:tcBorders>
              <w:top w:val="nil"/>
              <w:left w:val="single" w:sz="4" w:space="0" w:color="auto"/>
              <w:bottom w:val="single" w:sz="4" w:space="0" w:color="auto"/>
              <w:right w:val="single" w:sz="4" w:space="0" w:color="auto"/>
            </w:tcBorders>
            <w:vAlign w:val="center"/>
          </w:tcPr>
          <w:p w:rsidR="00000000" w:rsidRDefault="00431234">
            <w:pPr>
              <w:jc w:val="center"/>
              <w:rPr>
                <w:rFonts w:ascii="Times New Roman" w:eastAsia="Times New Roman" w:hAnsi="Times New Roman"/>
                <w:sz w:val="22"/>
                <w:szCs w:val="22"/>
                <w:lang w:val="mn-MN"/>
              </w:rPr>
            </w:pPr>
          </w:p>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УУР АМЬСГАЛЫН ӨӨРЧЛӨЛТИЙН ҮНДЭСНИЙ ХӨТӨЛБӨРИЙН ЭХНИЙ ҮЕ ШАТАНД</w:t>
            </w:r>
          </w:p>
          <w:p w:rsidR="00000000" w:rsidRDefault="00431234">
            <w:pPr>
              <w:jc w:val="center"/>
              <w:rPr>
                <w:rFonts w:ascii="Times New Roman" w:eastAsia="Times New Roman" w:hAnsi="Times New Roman"/>
                <w:sz w:val="22"/>
                <w:szCs w:val="22"/>
                <w:lang w:val="mn-MN"/>
              </w:rPr>
            </w:pPr>
            <w:r>
              <w:rPr>
                <w:rFonts w:ascii="Times New Roman" w:eastAsia="Times New Roman" w:hAnsi="Times New Roman"/>
                <w:b/>
                <w:sz w:val="22"/>
                <w:szCs w:val="22"/>
                <w:lang w:val="mn-MN"/>
              </w:rPr>
              <w:t>ХЭРЭГЖҮҮЛЭХ ҮЙЛ АЖИЛЛАГААНЫ ТӨЛӨВЛӨГӨӨ</w:t>
            </w:r>
          </w:p>
        </w:tc>
      </w:tr>
      <w:tr w:rsidR="00000000">
        <w:trPr>
          <w:gridAfter w:val="1"/>
          <w:wAfter w:w="741" w:type="dxa"/>
        </w:trPr>
        <w:tc>
          <w:tcPr>
            <w:tcW w:w="646"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w:t>
            </w:r>
          </w:p>
        </w:tc>
        <w:tc>
          <w:tcPr>
            <w:tcW w:w="6833"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b/>
                <w:sz w:val="22"/>
                <w:szCs w:val="22"/>
                <w:lang w:val="mn-MN"/>
              </w:rPr>
            </w:pPr>
            <w:r>
              <w:rPr>
                <w:rFonts w:ascii="Times New Roman" w:eastAsia="Times New Roman" w:hAnsi="Times New Roman"/>
                <w:b/>
                <w:sz w:val="22"/>
                <w:szCs w:val="22"/>
                <w:lang w:val="mn-MN"/>
              </w:rPr>
              <w:t>Авч хэрэгжүүлэх арга хэмжээ</w:t>
            </w:r>
          </w:p>
        </w:tc>
        <w:tc>
          <w:tcPr>
            <w:tcW w:w="2048" w:type="dxa"/>
            <w:vMerge w:val="restart"/>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Хэрэгжүүлэх</w:t>
            </w:r>
          </w:p>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хугацаа</w:t>
            </w:r>
          </w:p>
        </w:tc>
        <w:tc>
          <w:tcPr>
            <w:tcW w:w="4331"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Оролцогч талууд</w:t>
            </w:r>
          </w:p>
        </w:tc>
      </w:tr>
      <w:tr w:rsidR="00000000">
        <w:trPr>
          <w:gridAfter w:val="1"/>
          <w:wAfter w:w="741"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b/>
                <w:sz w:val="22"/>
                <w:szCs w:val="22"/>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b/>
                <w:sz w:val="22"/>
                <w:szCs w:val="22"/>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b/>
                <w:sz w:val="22"/>
                <w:szCs w:val="22"/>
                <w:lang w:val="mn-MN"/>
              </w:rPr>
            </w:pP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Хариуцах</w:t>
            </w:r>
          </w:p>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байгууллага</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Хамтран</w:t>
            </w:r>
          </w:p>
          <w:p w:rsidR="00000000" w:rsidRDefault="00431234">
            <w:pPr>
              <w:jc w:val="center"/>
              <w:rPr>
                <w:rFonts w:ascii="Times New Roman" w:eastAsia="Times New Roman" w:hAnsi="Times New Roman"/>
                <w:b/>
                <w:sz w:val="22"/>
                <w:szCs w:val="22"/>
                <w:lang w:val="mn-MN"/>
              </w:rPr>
            </w:pPr>
            <w:r>
              <w:rPr>
                <w:rFonts w:ascii="Times New Roman" w:eastAsia="Times New Roman" w:hAnsi="Times New Roman"/>
                <w:b/>
                <w:sz w:val="22"/>
                <w:szCs w:val="22"/>
                <w:lang w:val="mn-MN"/>
              </w:rPr>
              <w:t>хэрэгжүүлэгч</w:t>
            </w:r>
          </w:p>
        </w:tc>
      </w:tr>
      <w:tr w:rsidR="00000000">
        <w:trPr>
          <w:gridAfter w:val="1"/>
          <w:wAfter w:w="741" w:type="dxa"/>
        </w:trPr>
        <w:tc>
          <w:tcPr>
            <w:tcW w:w="13858"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Стратегийн зорилт 1:  Уур амьсгалын өөрчлөлтийн улмаас гарч байгаа асуудлыг шийдвэрлэхэд чиглэсэн үйл ажиллагааг дэмжсэн эрх зүйн орчин, бүтэц, зохион байгуулалт, удирдлагын тогтолцоог бүрдүүлэх талаар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1.1</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Уур амьсгалын өөрчлөлтөд дасан зохицох стратеги боловсруулан хэрэгжүүлэх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Холбогдох яамд</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Байгаль орчныг хамгаалах тухай, Ус, цаг уур, орчны хяналт-шинжилгээний тухай, Ойн тухай, Усны тухай, Эрчим хүчний тухай, Ашигт </w:t>
            </w:r>
            <w:r>
              <w:rPr>
                <w:rFonts w:ascii="Times New Roman" w:eastAsia="Times New Roman" w:hAnsi="Times New Roman"/>
                <w:sz w:val="22"/>
                <w:szCs w:val="22"/>
                <w:lang w:val="mn-MN"/>
              </w:rPr>
              <w:t>малтмалын тухай, Газрын тосны тухай, Гамшгаас хамгаалах тухай, Газрын тухай, Барилгын тухай, Сэргээгдэх эрчим хүчний тухай зэрэг холбогдох хуульд нэмэлт, өөрчлөлт оруулах хуулийн төсөл боловсруулах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ХЗДХЯ, ЭБЭХЯ, ЗТБХБЯ, ОБЕГ</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1.3</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Бэлчээр ашиглах, хөрс хамгаалах, эрчим хүч хэмнэх, үйлдвэрлэл, үйлчилгээний үр ашгийг дээшлүүлэх, ногоон хөгжлийг дэмжих, уур амьсгалын өөрчлөлтийн эсрэг авах хариу арга хэмжээний тухай зэрэг харилцааг зохицуулсан эрх зүйн орчныг шинээр бүрд</w:t>
            </w:r>
            <w:r>
              <w:rPr>
                <w:rFonts w:ascii="Times New Roman" w:eastAsia="Times New Roman" w:hAnsi="Times New Roman"/>
                <w:sz w:val="22"/>
                <w:szCs w:val="22"/>
                <w:lang w:val="mn-MN"/>
              </w:rPr>
              <w:t>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 ХХААХҮЯ, ЭБЭХЯ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1.4</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Хүлэмжийн хийн тооллого, тооцоонд шаардлагатай эх мэдээг улсын статистикийн мэдээлэлд  оруулах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2012-2015</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 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ҮСХ</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1.5</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Эрчим хүчний үйлдвэрлэл, хэрэглээ, барилгын чанар, дулаалгын байдалд хөндлөнгийн аудит хийх механизмыг бий болгох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 ЗТБХБЯ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 МХЕГ</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1.6</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Эрчим хүч, уур, усны хэмнэлт, хог хаягдлын ашиглалт, </w:t>
            </w:r>
            <w:r>
              <w:rPr>
                <w:rFonts w:ascii="Times New Roman" w:eastAsia="Times New Roman" w:hAnsi="Times New Roman"/>
                <w:sz w:val="22"/>
                <w:szCs w:val="22"/>
                <w:lang w:val="mn-MN"/>
              </w:rPr>
              <w:t>боловсруулалт, тээврийн хэрэгсэл болон зарим цахилгаан хэрэгслийн хүлэмжийн хийн ялгаралтын байж болох дээд түвшний шинэ норм, стандартыг боловсруулж мөрдүүлэх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ҮСХ</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1.7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өөрчлөлтийн асуудал хариуцсан салбар </w:t>
            </w:r>
            <w:r>
              <w:rPr>
                <w:rFonts w:ascii="Times New Roman" w:eastAsia="Times New Roman" w:hAnsi="Times New Roman"/>
                <w:sz w:val="22"/>
                <w:szCs w:val="22"/>
                <w:lang w:val="mn-MN"/>
              </w:rPr>
              <w:t>дундын зохицуулалт хийх үүрэг бүхий бүтцийг бий болгох, чадавхижуулах арга хэмжээ авах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2012-2013</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1.8</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өөрчлөлтөд эмзэг салбаруудын дасан зохицох үйл ажиллагааны хөтөлбөр боловсруулах (эрүүл мэнд, мал аж ахуй, газар </w:t>
            </w:r>
            <w:r>
              <w:rPr>
                <w:rFonts w:ascii="Times New Roman" w:eastAsia="Times New Roman" w:hAnsi="Times New Roman"/>
                <w:sz w:val="22"/>
                <w:szCs w:val="22"/>
                <w:lang w:val="mn-MN"/>
              </w:rPr>
              <w:t>тариалан, усны нөөц, хангамж зэрэг)</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0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Холбогдох яамд</w:t>
            </w:r>
          </w:p>
        </w:tc>
      </w:tr>
      <w:tr w:rsidR="00000000">
        <w:trPr>
          <w:gridAfter w:val="1"/>
          <w:wAfter w:w="741" w:type="dxa"/>
        </w:trPr>
        <w:tc>
          <w:tcPr>
            <w:tcW w:w="13858"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Стратегийн зорилт 2:  Уур амьсгалын өөрчлөлтөд дасан зохицох үндэсний чадавхийг бүрдүүлж, байгаль орчны тэнцвэрт байдлыг ханган, </w:t>
            </w:r>
            <w:r>
              <w:rPr>
                <w:rFonts w:ascii="Times New Roman" w:eastAsia="Times New Roman" w:hAnsi="Times New Roman"/>
                <w:sz w:val="22"/>
                <w:szCs w:val="22"/>
                <w:lang w:val="mn-MN"/>
              </w:rPr>
              <w:t>эдийн засаг, нийгмийн эмзэг байдал, эрсдэлийг  үе шаттайгаар бууруулах талаар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Уур амьсгалын өөрчлөлтөөс хүний эрүүл мэндэд учирч болох аюул, эрсдэлийг эрт сэрэмжлүүлэх, хариу арга хэмжээний үр дүнг дээшлүүлэх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ЭМЯ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Голын эх, сав газруудын менежментийг боловсронгуй болгох үндсийг бүрдүүлэх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өөрчлөлтөд нэн эмзэг бүс нутгийн усны нөөцийг нарийвчлан тогтоох,  </w:t>
            </w:r>
            <w:r>
              <w:rPr>
                <w:rFonts w:ascii="Times New Roman" w:eastAsia="Times New Roman" w:hAnsi="Times New Roman"/>
                <w:sz w:val="22"/>
                <w:szCs w:val="22"/>
                <w:lang w:val="mn-MN"/>
              </w:rPr>
              <w:t>салбарын хөгжлийн бодлого, төлөвлөлттэй уялдуулан тооцох, зарим голын савд экосистемд түшиглэсэн дасан зохицох арга хэмжээ авч эхлэх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ҮХШХ</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2.4</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өөрчлөлтөд зохицуулан ойн нөөцийг </w:t>
            </w:r>
            <w:r>
              <w:rPr>
                <w:rFonts w:ascii="Times New Roman" w:eastAsia="Times New Roman" w:hAnsi="Times New Roman"/>
                <w:sz w:val="22"/>
                <w:szCs w:val="22"/>
                <w:lang w:val="mn-MN"/>
              </w:rPr>
              <w:t>хамгаалах, нөхөн сэргээх арга хэмжээний менежментийг  боловсронгуй болгох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2.5</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Газрын доройтол, цөлжилтийг сааруулах арга хэмжээг </w:t>
            </w:r>
            <w:r>
              <w:rPr>
                <w:rFonts w:ascii="Times New Roman" w:eastAsia="Times New Roman" w:hAnsi="Times New Roman"/>
                <w:sz w:val="22"/>
                <w:szCs w:val="22"/>
                <w:lang w:val="mn-MN"/>
              </w:rPr>
              <w:t>авах, бэлчээр, хөрсний хүлэмжийн хий шингээх чадавхийг дээшлүүлэх арга хэмжээ авах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 ЗТБХБЯ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2.6</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Говь, тал хээрийн бүсийн ахуйн түлшний хангамжийг </w:t>
            </w:r>
            <w:r>
              <w:rPr>
                <w:rFonts w:ascii="Times New Roman" w:eastAsia="Times New Roman" w:hAnsi="Times New Roman"/>
                <w:sz w:val="22"/>
                <w:szCs w:val="22"/>
                <w:lang w:val="mn-MN"/>
              </w:rPr>
              <w:t>зохистой шийдвэрлэх замаар заг, шаваг зэрэг модлог, бутлаг ургамлын нөөцийг хамгаалах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 ХХААХҮЯ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өөрчлөлтөд эмзэг биологийн олон янз </w:t>
            </w:r>
            <w:r>
              <w:rPr>
                <w:rFonts w:ascii="Times New Roman" w:eastAsia="Times New Roman" w:hAnsi="Times New Roman"/>
                <w:sz w:val="22"/>
                <w:szCs w:val="22"/>
                <w:lang w:val="mn-MN"/>
              </w:rPr>
              <w:t>байдлыг хамгаалах, дасан зохицоход дэмжлэг үзүүлэхэд чиглэсэн арга хэмжээг тусгай хамгаалалттай газар нутгийг түшиглүүлэн хэрэгжүүлж эхлэх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Мал аж ахуйн эмзэг байдал, эрсдэлийг үе шаттайгаар бууруулах арга хэмжээ авах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СЯ, НХХЯ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2.9</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Хуурайшилтай нөхцөлд зохицсон, ус хэмнэх, хөрс хамгаалах </w:t>
            </w:r>
            <w:r>
              <w:rPr>
                <w:rFonts w:ascii="Times New Roman" w:eastAsia="Times New Roman" w:hAnsi="Times New Roman"/>
                <w:sz w:val="22"/>
                <w:szCs w:val="22"/>
                <w:lang w:val="mn-MN"/>
              </w:rPr>
              <w:lastRenderedPageBreak/>
              <w:t>технологид тулгуурласан усалгаатай газар тариаланг хөгжүүлэх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2.10</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Газар ашиглалт, бэлчээрийн талаархи судалгааны газар дээрх болон сансрын шуурхай мониторингийг боловсронгуй болгож, орон нутгийн засаг захиргааны байгууллага, малчдад дэмжлэг үзүүлэх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 оноос</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 ОБЕГ</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2.11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Иргэдийн амьжиргааг дээшлүүлэх,  ядуурлыг бууруулах, ногоон ажлын байр бий болгох чиглэлээр төсөл, хөтөлбөр хэрэгжүүлэх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2012-2015</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НХХЯ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2.12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Цөлжилтөд илүү ихээр нэрвэгдэж байгаа аймаг, орон нутгийн түлшний хэрэгцээнд шингэрүүлсэн шатдаг хий ашиглах, хийн түлшний үйл ажиллагаа эрхэлж байгаа аж ахуйн нэгжийг дэмжихэд чиглэсэн арга хэмжээ авах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 ЭБЭХЯ, ХХААХҮЯ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2.13</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Цөлжилтөд ихээр нэрвэгдэж байгаа аймгуудад мод, бут, сөөг, харгана түлшинд хэрэглэхийг хориглох арга хэмжээ авах</w:t>
            </w: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709" w:type="dxa"/>
            <w:gridSpan w:val="4"/>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 ЭБЭХЯ, ХХААХҮЯ</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13858"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Стратегийн зорилт 3: Байгаль орчинд ээлтэй технологи нэвтрүүлэх, үйлдвэрлэл, хэрэглээний үр ашиг, бүтээмжийг дээшлүүлэх замаар хүлэмжийн хийн ялгаралтыг үе шаттайгаар бууруулж, карбон багатай эдийн засагт шилжих эхлэлийг тавих  талаар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Цахилгаан эрчим хүч, дулааны үйлдвэрлэлийн түлшний хувийн зарцуулалтыг бууруулах арга хэмжээ авах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Эрчим хүчний дамжуулалт, түгээлтийн үр ашгийг үе шаттайгаар нэмэгдүүлэх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Салхи, нарны  эрчим хүчний үйлдвэрлэл, хэрэглээг өргөжүүлэх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2011-2012</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tcPr>
          <w:p w:rsidR="00000000" w:rsidRDefault="00431234">
            <w:pPr>
              <w:jc w:val="center"/>
              <w:rPr>
                <w:rFonts w:ascii="Times New Roman" w:eastAsia="Times New Roman" w:hAnsi="Times New Roman"/>
                <w:sz w:val="22"/>
                <w:szCs w:val="22"/>
                <w:lang w:val="mn-MN"/>
              </w:rPr>
            </w:pPr>
          </w:p>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3.4</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Эрчим хүчний нэгдсэн системд холбогдоогүй сумын төв, </w:t>
            </w:r>
            <w:r>
              <w:rPr>
                <w:rFonts w:ascii="Times New Roman" w:eastAsia="Times New Roman" w:hAnsi="Times New Roman"/>
                <w:sz w:val="22"/>
                <w:szCs w:val="22"/>
                <w:lang w:val="mn-MN"/>
              </w:rPr>
              <w:t>сууринг сэргээгдэх эрчим хүчээр хангах арга хэмжээг шат дараатайгаар авах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noWrap/>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3.5</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Органик хог хаягдал  боловсруулж хийн түлш үйлдвэрлэх  технологи нэвтрүүлэх, хэрэглээг нэмэгдүүлэх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Нийслэлийн Засаг даргын Тамгын газар</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3.6</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Газрын гүний дулааныг ашиглах технологийн туршилт хийх, нэвтрүүлж эхлэх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Далд уурхайн метан хийг ашиглах технологи нэвтрүүлэх судалгаа хийх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Нийслэлийн Засаг даргын </w:t>
            </w:r>
            <w:r>
              <w:rPr>
                <w:rFonts w:ascii="Times New Roman" w:eastAsia="Times New Roman" w:hAnsi="Times New Roman"/>
                <w:sz w:val="22"/>
                <w:szCs w:val="22"/>
                <w:lang w:val="mn-MN"/>
              </w:rPr>
              <w:lastRenderedPageBreak/>
              <w:t>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3.8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Улаанбаатар, Дархан, Эрдэнэт хотын барилгын халаалтын </w:t>
            </w:r>
            <w:r>
              <w:rPr>
                <w:rFonts w:ascii="Times New Roman" w:eastAsia="Times New Roman" w:hAnsi="Times New Roman"/>
                <w:sz w:val="22"/>
                <w:szCs w:val="22"/>
                <w:lang w:val="mn-MN"/>
              </w:rPr>
              <w:t>системд дулааны программчилсан тохируулгатай технологи нэвтрүүлэх, хот, суурины хэрэглэгчдийг бүрэн тоолууртай болгох ажлын эхний шатыг хэрэгжүүлэх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3.9</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Улайсах лампын хэрэглээг хязгаарлах арга хэмжээг шат дараатай авах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ЭБЭХЯ</w:t>
            </w:r>
          </w:p>
        </w:tc>
        <w:tc>
          <w:tcPr>
            <w:tcW w:w="1844" w:type="dxa"/>
            <w:gridSpan w:val="3"/>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ГЕГ</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3.10</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Цементийн үйлдвэрлэлд хуурай технологи нэвтрүүлэх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Автотээвэрт хийн болон хосолмол түлшний хэрэглээг </w:t>
            </w:r>
            <w:r>
              <w:rPr>
                <w:rFonts w:ascii="Times New Roman" w:eastAsia="Times New Roman" w:hAnsi="Times New Roman"/>
                <w:sz w:val="22"/>
                <w:szCs w:val="22"/>
                <w:lang w:val="mn-MN"/>
              </w:rPr>
              <w:t>нэмэгдүүлэх, түлш бага зарцуулдаг тээврийн хэрэгслийн хэрэглээг дэмжих арга хэмжээ авах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3.12</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Нийтийн зорчигч тээврийн үйлчилгээнд том оврын автобус, цахилгаан тээврийн хэрэгслийн эзлэх хувийг нэмэгдүүлэх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Улаанбаатар хотын дулааны алдагдал ихтэй хуучин барилгыг нэмж дулаалах, дулааны алдагдлыг багасгах арга хэмжээ авах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w:t>
            </w:r>
          </w:p>
        </w:tc>
        <w:tc>
          <w:tcPr>
            <w:tcW w:w="1844" w:type="dxa"/>
            <w:gridSpan w:val="3"/>
            <w:tcBorders>
              <w:top w:val="single" w:sz="4" w:space="0" w:color="auto"/>
              <w:left w:val="single" w:sz="4" w:space="0" w:color="auto"/>
              <w:bottom w:val="single" w:sz="4" w:space="0" w:color="auto"/>
              <w:right w:val="single" w:sz="4" w:space="0" w:color="auto"/>
            </w:tcBorders>
            <w:noWrap/>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3.14</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Газар ашиглалтыг сайжруулж, атаршсан газрыг сэргээн ашиглах явдлыг өргөжүүлэх, шинээр газар хагалахыг хязгаарлах арга хэмжээ авах, уул уурхайн газрын нөхөн сэргээлтийг сайжруулах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3.15</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Ойжуулах, ойг нөхөн сэргээх болон ногоон байгууламжийн хэмжээг нэмэгдүүлж,  хүлэмжийн хийн шингээлтийг сайжруулах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3.16</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Ойг түймэр, хортон шавжаас хамгаалах, хууль бус </w:t>
            </w:r>
            <w:r>
              <w:rPr>
                <w:rFonts w:ascii="Times New Roman" w:eastAsia="Times New Roman" w:hAnsi="Times New Roman"/>
                <w:sz w:val="22"/>
                <w:szCs w:val="22"/>
                <w:lang w:val="mn-MN"/>
              </w:rPr>
              <w:t>ашиглалтыг таслан зогсоох, ойн нөөцийн хомсдолыг бууруулахад чиглэсэн арга хэмжээг хэрэгжүүлэх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Төвлөрсөн томоохон хот, суурин газрын ногоон байгууламжийн хэмжээг нэмэгдүүлж, арчилгааг сайжруулах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ЗТБХБЯ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Ойжуулалт, ойн зурвас байгуулах чиглэлээр гадаад, дотоодын байгууллагуудтай хамтран төсөл, хөтөлбөр хэрэгжүүлэх, ой байхгүй газрыг ойжуулах, мод үржүүлэх шинэ дэвшилтэт технологийг судлан нэвтрүүлэх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3.19</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Хатуу хог хаягдлыг ангилах, бүрэн боловсруулах, эргүүлэн ашиглах үйлдвэр байгуулах</w:t>
            </w:r>
          </w:p>
        </w:tc>
        <w:tc>
          <w:tcPr>
            <w:tcW w:w="2270" w:type="dxa"/>
            <w:gridSpan w:val="2"/>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Нийслэлийн Засаг даргын Тамгын газар</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13858"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Стратегийн зорилт 4: Уур амьсгалын ажиглалтын сүлжээг </w:t>
            </w:r>
            <w:r>
              <w:rPr>
                <w:rFonts w:ascii="Times New Roman" w:eastAsia="Times New Roman" w:hAnsi="Times New Roman"/>
                <w:sz w:val="22"/>
                <w:szCs w:val="22"/>
                <w:lang w:val="mn-MN"/>
              </w:rPr>
              <w:t xml:space="preserve">өргөтгөх, технологийн шинэчлэл хийх, судалгаа, шинжилгээ, үнэлгээний ажлыг </w:t>
            </w:r>
            <w:r>
              <w:rPr>
                <w:rFonts w:ascii="Times New Roman" w:eastAsia="Times New Roman" w:hAnsi="Times New Roman"/>
                <w:sz w:val="22"/>
                <w:szCs w:val="22"/>
                <w:lang w:val="mn-MN"/>
              </w:rPr>
              <w:lastRenderedPageBreak/>
              <w:t>өргөжүүлэх, боловсон хүчний чадавхийг дээшлүүлэх талаар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4.1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Ус, цаг уур, орчны хяналт шинжилгээний улсын сүлжээг өргөтгөх, технологийн шинэчлэлийг эрчимжүүлэх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4.2</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Аэрологийн өртөөний хэвийн ажиллагааг хангах, ашиглалтыг сайжруулах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4.3</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Нарны цацраг судлал, нарны гийгүүллийн хэмжилтийг сэргээн хийх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2011-2014</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4.4</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Тусгай хамгаалалттай газрыг түшиглэн  биогеоценозийн ажиглалт, мониторингийн сүлжээг байгуулж эхлэх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4.5</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Ус, цаг уур, орчны хяналт шинжилгээний улсын сүлжээг </w:t>
            </w:r>
            <w:r>
              <w:rPr>
                <w:rFonts w:ascii="Times New Roman" w:eastAsia="Times New Roman" w:hAnsi="Times New Roman"/>
                <w:sz w:val="22"/>
                <w:szCs w:val="22"/>
                <w:lang w:val="mn-MN"/>
              </w:rPr>
              <w:t>түшиглэн мөстөл, цэвдэг, цөлжилтийн мониторингийн сүлжээг байгуулах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ШУА</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4.6</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Өндөр уулын мөстөл судлалын сүлжээг Алтайн нуруунд  байгуулах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Гадаргын болон гүний усны мониторингийн сүлжээг шинэчлэх, өргөтгөх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Дулааралтын улмаас шинээр гарч болзошгүй өвчин дамжуулагч шумуул, элдэв хортон, мэрэгчдийн мониторингийн сүлжээг бий болгох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ЭМЯ, ХХААХҮЯ, ОБЕГ</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4.9</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Бэлчээрийн ургамлын болон цөлжилтийн мониторингийн сүлжээг өргөжүүлэх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 оноос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4.10</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Монгол орны уур амьсгалын өөрчлөлтийн үнэлгээг 3-5 жил тутамд шинэчлэн хийх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2013</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4.11</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Уур амьсгалын өөрчлөлтөд тэсвэртэй, дасан зохицох чадвартай ургамал, амьтны төрөл зүйлийн судалгаа хийх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 БОАЖЯ, ШУА</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4.12</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Ургамлын өвчин, хортны ажиглалтыг өргөжүүлэн, </w:t>
            </w:r>
            <w:r>
              <w:rPr>
                <w:rFonts w:ascii="Times New Roman" w:eastAsia="Times New Roman" w:hAnsi="Times New Roman"/>
                <w:sz w:val="22"/>
                <w:szCs w:val="22"/>
                <w:lang w:val="mn-MN"/>
              </w:rPr>
              <w:t>бэлчээрийн эрүүл ахуйн үнэлгээний арга технологи боловсруулах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ХХААХҮЯ, БОАЖЯ, ШУА</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Хүлэмжийн хийн ялгаралт, шингээлтийн тооцооны үзүүлэлтүүдийг  монгол орны нөхцөлд судлан тогтоох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2012-2015</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 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ШУА</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4.14</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Уур амьсгалын өөрчлөлтийн байгаль экологи, нийгэм, эдийн засгийн салбарт нөлөөлөх байдлын болон эрсдэлийн үнэлгээг тодорхой хийх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2012-2015</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ШУА</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4.15</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Дасан зохицох арга хэмжээний хувилбар, тэдгээрийн өртөг </w:t>
            </w:r>
            <w:r>
              <w:rPr>
                <w:rFonts w:ascii="Times New Roman" w:eastAsia="Times New Roman" w:hAnsi="Times New Roman"/>
                <w:sz w:val="22"/>
                <w:szCs w:val="22"/>
                <w:lang w:val="mn-MN"/>
              </w:rPr>
              <w:t>зардал-үр ашгийн тооцоог эдийн засгийн салбар тус бүрээр гаргах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2013 оноос</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 ҮХШХ</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Салбарын яамд, ШУА</w:t>
            </w:r>
          </w:p>
        </w:tc>
      </w:tr>
      <w:tr w:rsidR="00000000">
        <w:trPr>
          <w:gridAfter w:val="1"/>
          <w:wAfter w:w="741" w:type="dxa"/>
        </w:trPr>
        <w:tc>
          <w:tcPr>
            <w:tcW w:w="13858" w:type="dxa"/>
            <w:gridSpan w:val="9"/>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Стратегийн зорилт 5:  Олон нийтийг уур амьсгалын өөрчлөлтийн тухай мэдээллээр хангах, уур амьсгалын өөрчлөлтийн эсрэг үйл </w:t>
            </w:r>
            <w:r>
              <w:rPr>
                <w:rFonts w:ascii="Times New Roman" w:eastAsia="Times New Roman" w:hAnsi="Times New Roman"/>
                <w:sz w:val="22"/>
                <w:szCs w:val="22"/>
                <w:lang w:val="mn-MN"/>
              </w:rPr>
              <w:t>ажиллагаа, арга хэмжээнд идэвхтэй оролцоход нь дэмжлэг үзүүлэх талаар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5.1</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өөрчлөлтийг сааруулах, дасан зохицох талаар ном, </w:t>
            </w:r>
            <w:r>
              <w:rPr>
                <w:rFonts w:ascii="Times New Roman" w:eastAsia="Times New Roman" w:hAnsi="Times New Roman"/>
                <w:sz w:val="22"/>
                <w:szCs w:val="22"/>
                <w:lang w:val="mn-MN"/>
              </w:rPr>
              <w:lastRenderedPageBreak/>
              <w:t>товхимол, гарын авлага, материал бэлтгэн хэвлүүлэх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lastRenderedPageBreak/>
              <w:t>5.2</w:t>
            </w: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Төр, засгийн бодлого, шийдвэр, шинжлэх ухааны ололт, дэвшилтэт технологийн тухай мэдээллийг олон нийтэд цаг тухайд нь хүргэх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5.3</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 тогтвортой хөгжил, ногоон эдийн </w:t>
            </w:r>
            <w:r>
              <w:rPr>
                <w:rFonts w:ascii="Times New Roman" w:eastAsia="Times New Roman" w:hAnsi="Times New Roman"/>
                <w:sz w:val="22"/>
                <w:szCs w:val="22"/>
                <w:lang w:val="mn-MN"/>
              </w:rPr>
              <w:t>засгийн хөгжлийн тухай хичээлийг бүх шатны сургуулийн сургалтын хөтөлбөрт тусгах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ҮХШХ</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5.4</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 байгаль орчны салбарт шинээр бий болох  мэргэжлийн ангилал, индексийг тодорхойлох сургалтын </w:t>
            </w:r>
            <w:r>
              <w:rPr>
                <w:rFonts w:ascii="Times New Roman" w:eastAsia="Times New Roman" w:hAnsi="Times New Roman"/>
                <w:sz w:val="22"/>
                <w:szCs w:val="22"/>
                <w:lang w:val="mn-MN"/>
              </w:rPr>
              <w:t>хөтөлбөрийг боловсруулах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2012-2013</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5.5</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Байгаль, цаг агаарын аюултай болон гамшигт үзэгдлийн мэдээллийг ашиглах, авран хамгаалах талаар сургалт, семинар, сурталчилгааны ажил тогтмол явуулах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ОБЕГ</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БСШУЯ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5.6</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Нутгийн иргэд, нөхөрлөлд түшиглэсэн гамшгаас хамгаалах багийг байгуулан ажиллуулах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ОБЕГ</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5.7</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Аж ахуйн нэгж, байгууллага, нөхөрлөл, төрийн бус </w:t>
            </w:r>
            <w:r>
              <w:rPr>
                <w:rFonts w:ascii="Times New Roman" w:eastAsia="Times New Roman" w:hAnsi="Times New Roman"/>
                <w:sz w:val="22"/>
                <w:szCs w:val="22"/>
                <w:lang w:val="mn-MN"/>
              </w:rPr>
              <w:t>байгууллага, иргэдийн ногоон үйлдвэрлэл эрхлэх, түүний хэрэглээг нэмэгдүүлэх, бүтээмжийг дээшлүүлэх зэргээр уур амьсгалын өөрчлөлтийн эсрэг хариу арга хэмжээ авах үйл ажиллагааг дэмжих, урамшуулах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Аймаг, нийслэлийн Засаг даргын Тамгын </w:t>
            </w:r>
            <w:r>
              <w:rPr>
                <w:rFonts w:ascii="Times New Roman" w:eastAsia="Times New Roman" w:hAnsi="Times New Roman"/>
                <w:sz w:val="22"/>
                <w:szCs w:val="22"/>
                <w:lang w:val="mn-MN"/>
              </w:rPr>
              <w:t>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5.8</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Уур амьсгалын өөрчлөлтийн асуудлаархи олон улс болон бүс нутгийн арга хэмжээнд аж ахуйн нэгж, байгууллага, нөхөрлөл, төрийн бус байгууллага, иргэд, эмэгтэйчүүдийн оролцоог дэмжих, хамтын ажиллагааг өрнүүлэх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2011-2016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Аймаг, нийслэлийн Засаг даргын Тамгын газар</w:t>
            </w:r>
          </w:p>
        </w:tc>
      </w:tr>
      <w:tr w:rsidR="00000000">
        <w:trPr>
          <w:gridAfter w:val="1"/>
          <w:wAfter w:w="741" w:type="dxa"/>
        </w:trPr>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5.9</w:t>
            </w:r>
          </w:p>
        </w:tc>
        <w:tc>
          <w:tcPr>
            <w:tcW w:w="6833" w:type="dxa"/>
            <w:tcBorders>
              <w:top w:val="single" w:sz="4" w:space="0" w:color="auto"/>
              <w:left w:val="single" w:sz="4" w:space="0" w:color="auto"/>
              <w:bottom w:val="single" w:sz="4" w:space="0" w:color="auto"/>
              <w:right w:val="single" w:sz="4" w:space="0" w:color="auto"/>
            </w:tcBorders>
            <w:noWrap/>
            <w:vAlign w:val="center"/>
            <w:hideMark/>
          </w:tcPr>
          <w:p w:rsidR="00000000" w:rsidRDefault="00431234">
            <w:pPr>
              <w:jc w:val="both"/>
              <w:rPr>
                <w:rFonts w:ascii="Times New Roman" w:eastAsia="Times New Roman" w:hAnsi="Times New Roman"/>
                <w:sz w:val="22"/>
                <w:szCs w:val="22"/>
                <w:lang w:val="mn-MN"/>
              </w:rPr>
            </w:pPr>
            <w:r>
              <w:rPr>
                <w:rFonts w:ascii="Times New Roman" w:eastAsia="Times New Roman" w:hAnsi="Times New Roman"/>
                <w:sz w:val="22"/>
                <w:szCs w:val="22"/>
                <w:lang w:val="mn-MN"/>
              </w:rPr>
              <w:t xml:space="preserve">Уур амьсгалын өөрчлөлтөд нийгмийн эмзэг бүлэг (өрх толгойлсон эмэгтэйчүүд, ядуу гэр бүл г.м)-ийн  амьжиргааг дэмжих, ядуурлыг бууруулах, ногоон ажлын байрыг нэмэгдүүлэхэд чиглэсэн төсөл, </w:t>
            </w:r>
            <w:r>
              <w:rPr>
                <w:rFonts w:ascii="Times New Roman" w:eastAsia="Times New Roman" w:hAnsi="Times New Roman"/>
                <w:sz w:val="22"/>
                <w:szCs w:val="22"/>
                <w:lang w:val="mn-MN"/>
              </w:rPr>
              <w:t>хөтөлбөр хэрэгжүүлэх</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2012-2016</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НХХЯ</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431234">
            <w:pPr>
              <w:jc w:val="center"/>
              <w:rPr>
                <w:rFonts w:ascii="Times New Roman" w:eastAsia="Times New Roman" w:hAnsi="Times New Roman"/>
                <w:sz w:val="22"/>
                <w:szCs w:val="22"/>
                <w:lang w:val="mn-MN"/>
              </w:rPr>
            </w:pPr>
            <w:r>
              <w:rPr>
                <w:rFonts w:ascii="Times New Roman" w:eastAsia="Times New Roman" w:hAnsi="Times New Roman"/>
                <w:sz w:val="22"/>
                <w:szCs w:val="22"/>
                <w:lang w:val="mn-MN"/>
              </w:rPr>
              <w:t>БОАЖЯ</w:t>
            </w:r>
          </w:p>
        </w:tc>
      </w:tr>
      <w:tr w:rsidR="00000000">
        <w:tc>
          <w:tcPr>
            <w:tcW w:w="64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6833"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048"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22"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431234">
            <w:pPr>
              <w:rPr>
                <w:rFonts w:ascii="Times New Roman" w:eastAsia="Times New Roman" w:hAnsi="Times New Roman"/>
                <w:sz w:val="20"/>
                <w:szCs w:val="20"/>
              </w:rPr>
            </w:pPr>
          </w:p>
        </w:tc>
      </w:tr>
    </w:tbl>
    <w:p w:rsidR="00000000" w:rsidRDefault="00431234">
      <w:pPr>
        <w:spacing w:line="360" w:lineRule="auto"/>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31234">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431234">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431234" w:rsidRDefault="00431234">
      <w:pPr>
        <w:spacing w:line="360" w:lineRule="auto"/>
        <w:jc w:val="center"/>
        <w:rPr>
          <w:rFonts w:ascii="Times New Roman" w:eastAsia="Times New Roman" w:hAnsi="Times New Roman"/>
          <w:sz w:val="24"/>
          <w:szCs w:val="24"/>
          <w:lang w:val="mn-MN"/>
        </w:rPr>
      </w:pPr>
      <w:r>
        <w:rPr>
          <w:rFonts w:ascii="Times New Roman" w:eastAsia="Times New Roman" w:hAnsi="Times New Roman"/>
          <w:sz w:val="24"/>
          <w:szCs w:val="24"/>
          <w:lang w:val="mn-MN"/>
        </w:rPr>
        <w:t>                          ---оОо---</w:t>
      </w:r>
    </w:p>
    <w:sectPr w:rsidR="00431234">
      <w:pgSz w:w="15840" w:h="12240" w:orient="landscape"/>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62663"/>
    <w:rsid w:val="00431234"/>
    <w:rsid w:val="00D6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305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2018-03-05T09:34:00Z</dcterms:created>
  <dcterms:modified xsi:type="dcterms:W3CDTF">2018-03-05T09:34:00Z</dcterms:modified>
</cp:coreProperties>
</file>