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7D9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14475" cy="1152525"/>
            <wp:effectExtent l="0" t="0" r="9525" b="9525"/>
            <wp:docPr id="1" name="Picture 1" descr="Description: ЗАРИМ ГАЗАР НУТГИЙГ УЛСЫН ТУСГАЙ ХАМГААЛАЛТА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ЗАРИМ ГАЗАР НУТГИЙГ УЛСЫН ТУСГАЙ ХАМГААЛАЛТА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7D9C">
      <w:pPr>
        <w:spacing w:line="360" w:lineRule="auto"/>
        <w:jc w:val="center"/>
        <w:divId w:val="111826250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6D7D9C">
      <w:pPr>
        <w:spacing w:line="360" w:lineRule="auto"/>
        <w:jc w:val="center"/>
        <w:divId w:val="1118262505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D7D9C">
      <w:pPr>
        <w:spacing w:line="360" w:lineRule="auto"/>
        <w:jc w:val="center"/>
        <w:divId w:val="111826250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ЗАРИМ ГАЗАР НУТГИЙГ УЛСЫН ТУСГАЙ</w:t>
      </w:r>
    </w:p>
    <w:p w:rsidR="00000000" w:rsidRDefault="006D7D9C">
      <w:pPr>
        <w:spacing w:line="360" w:lineRule="auto"/>
        <w:jc w:val="center"/>
        <w:divId w:val="111826250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ХАМГААЛАЛТАД АВАХ ТУХАЙ</w:t>
      </w:r>
    </w:p>
    <w:p w:rsidR="00000000" w:rsidRDefault="006D7D9C">
      <w:pPr>
        <w:spacing w:line="360" w:lineRule="auto"/>
        <w:jc w:val="center"/>
        <w:divId w:val="1118262505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58"/>
        <w:gridCol w:w="3044"/>
        <w:gridCol w:w="3059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7D9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2002 оны 6 дугаар </w:t>
            </w:r>
          </w:p>
          <w:p w:rsidR="00000000" w:rsidRDefault="006D7D9C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28-ны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7D9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D7D9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Улаанбаатар хот </w:t>
            </w:r>
          </w:p>
        </w:tc>
      </w:tr>
    </w:tbl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center"/>
        <w:divId w:val="1403065451"/>
        <w:rPr>
          <w:rFonts w:ascii="Times New Roman" w:eastAsia="Times New Roman" w:hAnsi="Times New Roman"/>
          <w:b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39</w:t>
      </w:r>
    </w:p>
    <w:p w:rsidR="00000000" w:rsidRDefault="006D7D9C">
      <w:pPr>
        <w:spacing w:line="360" w:lineRule="auto"/>
        <w:jc w:val="both"/>
        <w:divId w:val="140306545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6D7D9C">
      <w:pPr>
        <w:spacing w:line="360" w:lineRule="auto"/>
        <w:ind w:firstLine="720"/>
        <w:jc w:val="both"/>
        <w:divId w:val="1403065451"/>
        <w:rPr>
          <w:rFonts w:ascii="Times New Roman" w:eastAsia="Times New Roman" w:hAnsi="Times New Roman"/>
          <w:bCs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sz w:val="24"/>
          <w:szCs w:val="24"/>
          <w:lang w:val="mn-MN"/>
        </w:rPr>
        <w:t xml:space="preserve">Тусгай хамгаалалттай газар нутгийн тухай хуулийн 25 дугаар зүйлийн 2 дахь заалтыг үндэслэн Монгол Улсын Их Хурлаас ТОГТООХ нь: </w:t>
      </w:r>
    </w:p>
    <w:p w:rsidR="00000000" w:rsidRDefault="006D7D9C">
      <w:pPr>
        <w:pStyle w:val="NormalWeb"/>
        <w:spacing w:before="0" w:beforeAutospacing="0" w:after="0" w:afterAutospacing="0" w:line="360" w:lineRule="auto"/>
        <w:ind w:firstLine="720"/>
        <w:jc w:val="both"/>
        <w:divId w:val="1403065451"/>
        <w:rPr>
          <w:lang w:val="mn-MN"/>
        </w:rPr>
      </w:pPr>
      <w:r>
        <w:rPr>
          <w:lang w:val="mn-MN"/>
        </w:rPr>
        <w:t xml:space="preserve">1. Сэлэнгэ аймгийн Алтанбулаг, Шаамар сумын хилийн заагт орших Тужийн нарс орчмын нутгийг </w:t>
      </w:r>
      <w:r>
        <w:rPr>
          <w:lang w:val="mn-MN"/>
        </w:rPr>
        <w:t xml:space="preserve">байгалийн цогцолборт газрын ангиллаар улсын тусгай хамгаалалтад авахаар тогтоосугай: </w:t>
      </w:r>
    </w:p>
    <w:p w:rsidR="00000000" w:rsidRDefault="006D7D9C">
      <w:pPr>
        <w:spacing w:line="360" w:lineRule="auto"/>
        <w:ind w:firstLine="720"/>
        <w:jc w:val="both"/>
        <w:divId w:val="1403065451"/>
        <w:rPr>
          <w:rFonts w:ascii="Times New Roman" w:eastAsia="Times New Roman" w:hAnsi="Times New Roman"/>
          <w:bCs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mn-MN"/>
        </w:rPr>
        <w:t xml:space="preserve">/Энэ заалтад 2011 оны 05 дугаар сарын 05-ны өдрийн 18 дугаар тогтоолоор өөрчлөлт оруулсан/ </w:t>
      </w:r>
    </w:p>
    <w:p w:rsidR="00000000" w:rsidRDefault="006D7D9C">
      <w:pPr>
        <w:pStyle w:val="NormalWeb"/>
        <w:spacing w:before="0" w:beforeAutospacing="0" w:after="0" w:afterAutospacing="0" w:line="360" w:lineRule="auto"/>
        <w:ind w:firstLine="720"/>
        <w:jc w:val="both"/>
        <w:divId w:val="1403065451"/>
        <w:rPr>
          <w:lang w:val="mn-MN"/>
        </w:rPr>
      </w:pPr>
      <w:r>
        <w:rPr>
          <w:lang w:val="mn-MN"/>
        </w:rPr>
        <w:t>2. Тужийн нарсны Байгалийн цогцолборт газрын хилийн заагийг хавсралтын ёсоор б</w:t>
      </w:r>
      <w:r>
        <w:rPr>
          <w:lang w:val="mn-MN"/>
        </w:rPr>
        <w:t xml:space="preserve">аталсугай. </w:t>
      </w:r>
    </w:p>
    <w:p w:rsidR="00000000" w:rsidRDefault="006D7D9C">
      <w:pPr>
        <w:spacing w:line="360" w:lineRule="auto"/>
        <w:ind w:firstLine="720"/>
        <w:jc w:val="both"/>
        <w:divId w:val="1403065451"/>
        <w:rPr>
          <w:rFonts w:ascii="Times New Roman" w:eastAsia="Times New Roman" w:hAnsi="Times New Roman"/>
          <w:bCs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val="mn-MN"/>
        </w:rPr>
        <w:t xml:space="preserve">/Энэ заалтад 2011 оны 05 дугаар сарын 05-ны өдрийн 18 дугаар тогтоолоор өөрчлөлт оруулсан/ 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both"/>
        <w:rPr>
          <w:rStyle w:val="Strong"/>
          <w:b w:val="0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МОНГОЛ УЛСЫН ИХ ХУРЛЫН </w:t>
      </w:r>
    </w:p>
    <w:p w:rsidR="00000000" w:rsidRDefault="006D7D9C">
      <w:pPr>
        <w:spacing w:line="360" w:lineRule="auto"/>
        <w:jc w:val="both"/>
        <w:rPr>
          <w:rFonts w:ascii="Times New Roman" w:hAnsi="Times New Roman"/>
          <w:b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ДАРГА                                                             С. ТӨМӨР-ОЧИР 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lastRenderedPageBreak/>
        <w:t>Монгол Улсын Их Хурлын 2002</w:t>
      </w:r>
    </w:p>
    <w:p w:rsidR="00000000" w:rsidRDefault="006D7D9C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оны 39 дүгээр</w:t>
      </w:r>
      <w:r>
        <w:rPr>
          <w:rFonts w:ascii="Times New Roman" w:eastAsia="Times New Roman" w:hAnsi="Times New Roman"/>
          <w:i/>
          <w:sz w:val="24"/>
          <w:szCs w:val="24"/>
          <w:lang w:val="mn-MN"/>
        </w:rPr>
        <w:t xml:space="preserve"> тогтоолын хавсралт</w:t>
      </w:r>
    </w:p>
    <w:p w:rsidR="00000000" w:rsidRDefault="006D7D9C">
      <w:pPr>
        <w:spacing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val="mn-MN"/>
        </w:rPr>
      </w:pPr>
    </w:p>
    <w:p w:rsidR="00000000" w:rsidRDefault="006D7D9C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ТУЖИЙН НАРСНЫ БАЙГАЛИЙН ЦОГЦОЛБОРТ ГАЗАР, МЯНГАН УГАЛЗАТЫН НУРУУНЫ БАЙГАЛИЙН ЦОГЦОЛБОРТ</w:t>
      </w:r>
    </w:p>
    <w:p w:rsidR="00000000" w:rsidRDefault="006D7D9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 ГАЗРЫН ХИЛИЙН ЗААГ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D7D9C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Нэг.Тужийн нарсны Байгалийн цогцолборт  газар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 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            Баруун хойт захын цэг нь  </w:t>
      </w:r>
      <w:r>
        <w:rPr>
          <w:rFonts w:ascii="Times New Roman" w:eastAsia="Times New Roman" w:hAnsi="Times New Roman"/>
          <w:sz w:val="24"/>
          <w:szCs w:val="24"/>
          <w:lang w:val="mn-MN"/>
        </w:rPr>
        <w:t>693,0 тоот өндөрлөг, түүнээс зүүн хойш орших 722.0 тоот өндөрлөг,  түүнээс зүүн урагш орших   /1060 23’ 40’’, 500 11’ 02’’ / солбилцлын   цэг, түүнээс зүүн хойш орших  /1060 25’ 08’’, 500 11’ 00’’/ солбилцлын цэг,  түүнээс хойш орших 656.0 тоот өндөрлөг, т</w:t>
      </w:r>
      <w:r>
        <w:rPr>
          <w:rFonts w:ascii="Times New Roman" w:eastAsia="Times New Roman" w:hAnsi="Times New Roman"/>
          <w:sz w:val="24"/>
          <w:szCs w:val="24"/>
          <w:lang w:val="mn-MN"/>
        </w:rPr>
        <w:t>үүнээс  зүүн хойш орших 681.0, 666.0 тоот өндөрлөгүүд, 666 тоот өндөрлөгөөс зүүн урагш орших /1060 30’ 10’’, 500 09’ 15’’/ солбилцлын  цэг, түүнээс зүүн тийш орших /1060 31’ 25’’, 500 09’ 15’’/, түүнээс зүүн хойш орших /1060 32’ 22’’, 500 10’ 25’’/, түүнээ</w:t>
      </w:r>
      <w:r>
        <w:rPr>
          <w:rFonts w:ascii="Times New Roman" w:eastAsia="Times New Roman" w:hAnsi="Times New Roman"/>
          <w:sz w:val="24"/>
          <w:szCs w:val="24"/>
          <w:lang w:val="mn-MN"/>
        </w:rPr>
        <w:t>с баруун хойш орших /1060 31’ 40’’, 500 14’ 19’’/, түүнээс зүүн урагш орших /1060 35’ 20’’, 500 13’ 48’’ /,  /1060 35’ 30’’, 500 12’ 15’’/  солбилцлын цэгүүд, Хяраан гол дахь 688.0 тоот,  тэндээсээ мөн голоо өгссөөр Ивцэг, Хяраан, Бөхлөө голын уулзвар, тэн</w:t>
      </w:r>
      <w:r>
        <w:rPr>
          <w:rFonts w:ascii="Times New Roman" w:eastAsia="Times New Roman" w:hAnsi="Times New Roman"/>
          <w:sz w:val="24"/>
          <w:szCs w:val="24"/>
          <w:lang w:val="mn-MN"/>
        </w:rPr>
        <w:t xml:space="preserve">дээсээ Ивцэг голыг даган өгссөөр Ивцэг, Хангай голын уулзвар хүрч  тэндээсээ Хангай голыг өгссөөр Цагаан даваа /990.0/,  түүнээс баруун хойш  орших Дэлгэрхаан уул /1553.8/, 970.6 тоот өндөрлөг, Хөглөн уул /1025.0/, Хөх чулуу /954.9/, Хөх чулуу уулаас зүүн </w:t>
      </w:r>
      <w:r>
        <w:rPr>
          <w:rFonts w:ascii="Times New Roman" w:eastAsia="Times New Roman" w:hAnsi="Times New Roman"/>
          <w:sz w:val="24"/>
          <w:szCs w:val="24"/>
          <w:lang w:val="mn-MN"/>
        </w:rPr>
        <w:t>хойш орших 1069.9 тоот өндөрлөг, түүнээс зүүн урагш орших Хөх чулуутын даваа, түүнээс зүүн хойш орших /1060 20’ 10’’, 500 01’ 10’’/ дахь солбилцлын цэг, 1087,1 тоот өндөрлөг, уг өндөрлөгөөс баруун хойш орших Өнчин цагаан толгой,  /1060 19’ 10’’, 500 04’ 05</w:t>
      </w:r>
      <w:r>
        <w:rPr>
          <w:rFonts w:ascii="Times New Roman" w:eastAsia="Times New Roman" w:hAnsi="Times New Roman"/>
          <w:sz w:val="24"/>
          <w:szCs w:val="24"/>
          <w:lang w:val="mn-MN"/>
        </w:rPr>
        <w:t>’’/,  /1060 17’ 30’’, 500 04’ 19’’/  солбилцлын цэгүүд, түүнээс  баруун урагш орших 742,7 тоот өндөрлөг, /1060 14’ 30’’, 500 01’ 38’’/ солбилцлын цэг, мөн цэгээс хойш орших  /1060 14’ 30’’, 500  06’ 50’’/ солбилцлын  цэг, түүнээс зүүн хойш орших Тэмээн хүз</w:t>
      </w:r>
      <w:r>
        <w:rPr>
          <w:rFonts w:ascii="Times New Roman" w:eastAsia="Times New Roman" w:hAnsi="Times New Roman"/>
          <w:sz w:val="24"/>
          <w:szCs w:val="24"/>
          <w:lang w:val="mn-MN"/>
        </w:rPr>
        <w:t>үү /769.8/, 693,0 тоот өндөрлөг.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trike/>
          <w:sz w:val="24"/>
          <w:szCs w:val="24"/>
          <w:lang w:val="mn-MN"/>
        </w:rPr>
        <w:t>Хоёр. Мянган угалзатын нурууны байгалийн цогцолборт газар</w:t>
      </w:r>
    </w:p>
    <w:p w:rsidR="00000000" w:rsidRDefault="006D7D9C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trike/>
          <w:sz w:val="24"/>
          <w:szCs w:val="24"/>
          <w:lang w:val="mn-MN"/>
        </w:rPr>
        <w:t>Баруун хойт захын цэг нь 3065,0 тоот өндөрлөг, түүнээс зүүн хойш орших Жинстийн орой /2563,0/, түүнээс зүүн тийш орших 2323,0 тоот өндөрлөг, түүнээс урагш орших 274</w:t>
      </w:r>
      <w:r>
        <w:rPr>
          <w:rFonts w:ascii="Times New Roman" w:eastAsia="Times New Roman" w:hAnsi="Times New Roman"/>
          <w:strike/>
          <w:sz w:val="24"/>
          <w:szCs w:val="24"/>
          <w:lang w:val="mn-MN"/>
        </w:rPr>
        <w:t xml:space="preserve">2,0  тоот, Шаврын гол  дахь 2510,0 тоот өндөрлөгүүд, 2510.0 тоот өндөрлөгөөс мөн голоо уруудсаар 2379,0 тоот өндөрлөг, түүнээс урагш Баянгол дахь </w:t>
      </w:r>
      <w:r>
        <w:rPr>
          <w:rFonts w:ascii="Times New Roman" w:eastAsia="Times New Roman" w:hAnsi="Times New Roman"/>
          <w:strike/>
          <w:sz w:val="24"/>
          <w:szCs w:val="24"/>
          <w:lang w:val="mn-MN"/>
        </w:rPr>
        <w:lastRenderedPageBreak/>
        <w:t>2333 тоот өндөрлөг,  түүнээс баруун урагш  орших Нам даваа /2790,0/, түүнээс баруун тийш орших 3185,0 тоот өнд</w:t>
      </w:r>
      <w:r>
        <w:rPr>
          <w:rFonts w:ascii="Times New Roman" w:eastAsia="Times New Roman" w:hAnsi="Times New Roman"/>
          <w:strike/>
          <w:sz w:val="24"/>
          <w:szCs w:val="24"/>
          <w:lang w:val="mn-MN"/>
        </w:rPr>
        <w:t>өрлөг, түүнээс баруун хойш орших 2665,0 тоот өндөрлөг, түүнээс зүүн хойш орших 3065.0 тоот өндөрлөг.</w:t>
      </w:r>
    </w:p>
    <w:p w:rsidR="00000000" w:rsidRDefault="006D7D9C">
      <w:pPr>
        <w:spacing w:line="36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val="mn-MN"/>
        </w:rPr>
      </w:pPr>
      <w:r>
        <w:rPr>
          <w:rFonts w:ascii="Times New Roman" w:eastAsia="Times New Roman" w:hAnsi="Times New Roman"/>
          <w:i/>
          <w:sz w:val="24"/>
          <w:szCs w:val="24"/>
          <w:lang w:val="mn-MN"/>
        </w:rPr>
        <w:t> /Энэ хэсгийг 2011 оны 05 дугаар сарын 05-ны өдрийн 18 дугаар тогтоолоор хүчингүй болсонд тооцсон/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6D7D9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-------оОо--------</w:t>
      </w:r>
    </w:p>
    <w:p w:rsidR="006D7D9C" w:rsidRDefault="006D7D9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  <w:r>
        <w:rPr>
          <w:rFonts w:ascii="Times New Roman" w:eastAsia="Times New Roman" w:hAnsi="Times New Roman"/>
          <w:sz w:val="24"/>
          <w:szCs w:val="24"/>
          <w:lang w:val="mn-MN"/>
        </w:rPr>
        <w:t> </w:t>
      </w:r>
    </w:p>
    <w:sectPr w:rsidR="006D7D9C">
      <w:pgSz w:w="11907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607F"/>
    <w:rsid w:val="004E607F"/>
    <w:rsid w:val="006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2018-03-05T09:20:00Z</dcterms:created>
  <dcterms:modified xsi:type="dcterms:W3CDTF">2018-03-05T09:20:00Z</dcterms:modified>
</cp:coreProperties>
</file>