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E0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ЖУРАМ БАТЛАХ ТУХАЙ /Автотээврийн болон өөрөө явагч хэрэгслээс ялгарах нүүрсхүчлийн хийн хэмжээ, хөдөлгүүрийн багтаамжаас хамааруулан 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Автотээврийн болон өөрөө явагч хэрэгслээс ялгарах нүүрсхүчлийн хийн хэмжээ, хөдөлгүүрийн багтаамжаас хамааруулан анг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2E0D">
      <w:pPr>
        <w:spacing w:line="360" w:lineRule="auto"/>
        <w:jc w:val="center"/>
        <w:divId w:val="26511560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АЯЛАЛ ЖУУЛЧЛАЛЫН САЙД, ЗАМ ТЭЭВЭР, БАРИЛГА, ХОТ БАЙГУУЛАЛТЫН САЙДЫН ХАМТАРСАН ТУШААЛ</w:t>
      </w:r>
    </w:p>
    <w:p w:rsidR="00000000" w:rsidRDefault="00A82E0D">
      <w:pPr>
        <w:spacing w:line="360" w:lineRule="auto"/>
        <w:jc w:val="both"/>
        <w:divId w:val="26511560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center"/>
        <w:divId w:val="265115609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 xml:space="preserve">ЖУРАМ БАТЛАХ ТУХАЙ /Автотээврийн болон өөрөө явагч хэрэгслээс ялгарах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нүүрсхүчлийн хийн хэмжээ, хөдөлгүүрийн багтаамжаас хамааруулан ангилал тогтоох журам/</w:t>
      </w:r>
    </w:p>
    <w:p w:rsidR="00000000" w:rsidRDefault="00A82E0D">
      <w:pPr>
        <w:spacing w:line="360" w:lineRule="auto"/>
        <w:jc w:val="center"/>
        <w:divId w:val="265115609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26511560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2011 оны 03 дугаар </w:t>
      </w:r>
    </w:p>
    <w:p w:rsidR="00000000" w:rsidRDefault="00A82E0D">
      <w:pPr>
        <w:spacing w:line="360" w:lineRule="auto"/>
        <w:jc w:val="both"/>
        <w:divId w:val="265115609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 07 -ны өдөр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ab/>
      </w:r>
      <w:r>
        <w:rPr>
          <w:rFonts w:ascii="Times New Roman" w:hAnsi="Times New Roman"/>
          <w:sz w:val="24"/>
          <w:szCs w:val="24"/>
          <w:lang w:val="mn-MN"/>
        </w:rPr>
        <w:t xml:space="preserve">Дугаар А-63/67 </w:t>
      </w:r>
    </w:p>
    <w:p w:rsidR="00000000" w:rsidRDefault="00A82E0D">
      <w:pPr>
        <w:spacing w:line="360" w:lineRule="auto"/>
        <w:jc w:val="both"/>
        <w:divId w:val="26511560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pStyle w:val="NormalWeb"/>
        <w:spacing w:before="0" w:beforeAutospacing="0" w:after="0" w:afterAutospacing="0" w:line="360" w:lineRule="auto"/>
        <w:ind w:firstLine="720"/>
        <w:jc w:val="both"/>
        <w:divId w:val="1248688432"/>
        <w:rPr>
          <w:lang w:val="mn-MN"/>
        </w:rPr>
      </w:pPr>
      <w:r>
        <w:rPr>
          <w:lang w:val="mn-MN"/>
        </w:rPr>
        <w:t xml:space="preserve">Агаарын бохирдлын төлбөрийн тухай хуулийн 5 дугаар зүйлийн 5.3-т заасныг үндэслэн ТУШААХ нь: </w:t>
      </w:r>
    </w:p>
    <w:p w:rsidR="00000000" w:rsidRDefault="00A82E0D">
      <w:pPr>
        <w:pStyle w:val="NormalWeb"/>
        <w:spacing w:before="0" w:beforeAutospacing="0" w:after="0" w:afterAutospacing="0" w:line="360" w:lineRule="auto"/>
        <w:ind w:firstLine="720"/>
        <w:jc w:val="both"/>
        <w:divId w:val="1248688432"/>
        <w:rPr>
          <w:lang w:val="mn-MN"/>
        </w:rPr>
      </w:pPr>
      <w:r>
        <w:rPr>
          <w:lang w:val="mn-MN"/>
        </w:rPr>
        <w:t>1. “Автотээврийн</w:t>
      </w:r>
      <w:r>
        <w:rPr>
          <w:lang w:val="mn-MN"/>
        </w:rPr>
        <w:t xml:space="preserve"> болон өөрөө явагч хэрэгслээс ялгарах нүүрсхүчлийн хийн хэмжээ, хөдөлгүүрийн багтаамжаас хамааруулан ангилал тогтоох журам”-ыг хавсралт ёсоор баталсугай. </w:t>
      </w:r>
    </w:p>
    <w:p w:rsidR="00000000" w:rsidRDefault="00A82E0D">
      <w:pPr>
        <w:pStyle w:val="NormalWeb"/>
        <w:spacing w:before="0" w:beforeAutospacing="0" w:after="0" w:afterAutospacing="0" w:line="360" w:lineRule="auto"/>
        <w:ind w:firstLine="720"/>
        <w:jc w:val="both"/>
        <w:divId w:val="1248688432"/>
        <w:rPr>
          <w:lang w:val="mn-MN"/>
        </w:rPr>
      </w:pPr>
      <w:r>
        <w:rPr>
          <w:lang w:val="mn-MN"/>
        </w:rPr>
        <w:t>2. Энэхүү журмын дагуу автотээврийн болон өөрөө явагч хэрэгсэлд түүнээс ялгарах нүүрсхүчлийн хийн хэм</w:t>
      </w:r>
      <w:r>
        <w:rPr>
          <w:lang w:val="mn-MN"/>
        </w:rPr>
        <w:t xml:space="preserve">жээ, хөдөлгүүрийн багтаамжаас хамааруулан ангилал тогтоох ажлыг зохион байгуулж, хяналт тавьж ажиллахыг Тээврийн хэрэгслийн оношлогоо, хяналт зохицуулалтын алба /Б.Болдбаатар/, Агаарын чанарын мэргэжлийн алба /С.Энхтүвшин/-нд тус тус үүрэг болгосугай. 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БА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ЙГАЛЬ ОРЧИН,                                                        ЗАМ ТЭЭВЭР, БАРИЛГА, 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АЯЛАЛ ЖУУЛЧЛАЛЫН САЙД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ХОТ БАЙГУУЛАЛТЫН САЙД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Л.ГАНСҮХ       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Х.БАТТУЛГА 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Улсын бүртгэлд 2011 оны 03 дугаар сарын 15-ны өдрийн 3228 дуг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аарт бүртгэв </w:t>
      </w:r>
    </w:p>
    <w:p w:rsidR="00000000" w:rsidRDefault="00A82E0D">
      <w:pPr>
        <w:spacing w:line="360" w:lineRule="auto"/>
        <w:jc w:val="right"/>
        <w:divId w:val="1248688432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 xml:space="preserve">Байгаль орчин, аялал жуулчлалын сайд, </w:t>
      </w:r>
    </w:p>
    <w:p w:rsidR="00000000" w:rsidRDefault="00A82E0D">
      <w:pPr>
        <w:spacing w:line="360" w:lineRule="auto"/>
        <w:jc w:val="right"/>
        <w:divId w:val="1248688432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Зам тээвэр, барилга, хот байгуулалтын сайдын </w:t>
      </w:r>
    </w:p>
    <w:p w:rsidR="00000000" w:rsidRDefault="00A82E0D">
      <w:pPr>
        <w:spacing w:line="360" w:lineRule="auto"/>
        <w:jc w:val="right"/>
        <w:divId w:val="1248688432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2011 оны  А/63/67 дугаар хамтарсан </w:t>
      </w:r>
    </w:p>
    <w:p w:rsidR="00000000" w:rsidRDefault="00A82E0D">
      <w:pPr>
        <w:spacing w:line="360" w:lineRule="auto"/>
        <w:jc w:val="right"/>
        <w:divId w:val="1248688432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тушаалын хавсралт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jc w:val="center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АВТОТЭЭВРИЙН БОЛОН ӨӨРӨӨ ЯВАГЧ ХЭРЭГСЛЭЭС ЯЛГАРАХ НҮҮРСХҮЧЛИЙН ХИЙН ХЭМЖЭЭ, ХӨДӨЛГҮҮРИЙН БАГТААМЖААС </w:t>
      </w: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ХАМААРУУЛАН АНГИЛАЛ ТОГТООХ ЖУРАМ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Нэг. Нийтлэг үндэслэл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1.1. Энэ журмын зорилго нь Монгол Улсын нутаг дэвсгэрт ашиглагдаж байгаа автотээврийн болон өөрөө явагч хэрэгслийг түүнээс ялгаран гарах нүүрсхүчлийн хийн хэмжээ, </w:t>
      </w:r>
      <w:r>
        <w:rPr>
          <w:rFonts w:ascii="Times New Roman" w:eastAsia="Times New Roman" w:hAnsi="Times New Roman"/>
          <w:sz w:val="24"/>
          <w:szCs w:val="24"/>
          <w:lang w:val="mn-MN"/>
        </w:rPr>
        <w:t>хөдөлгүүрийн багтаамжаас хамааруулан ангилж, агаарын бохирдлын төлбөрийг тогтоохтой холбогдсон харилцааг зохицуулахад оршино.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1.2. Автотээврийн болон өөрөө явагч хэрэгслээс ялгарах нүүрсхүчлийн хийн хэмжээ, хөдөлгүүрийн багтаамжаас хамааруулан ангилал то</w:t>
      </w:r>
      <w:r>
        <w:rPr>
          <w:rFonts w:ascii="Times New Roman" w:eastAsia="Times New Roman" w:hAnsi="Times New Roman"/>
          <w:sz w:val="24"/>
          <w:szCs w:val="24"/>
          <w:lang w:val="mn-MN"/>
        </w:rPr>
        <w:t>гтоох үйл ажиллагааг "Тээврийн хэрэгслийн оношлогоо, хяналт зохицуулалтын алба" улсын хэмжээнд зохион байгуулна.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1.3. Тээврийн хэрэгслийн оношлогоо, хяналт зохицуулалтын алба нь "Агаарын бохирдлын төлбөрийн тухай" хуулийн 7.3-т заасны дагуу тухайн автотэ</w:t>
      </w:r>
      <w:r>
        <w:rPr>
          <w:rFonts w:ascii="Times New Roman" w:eastAsia="Times New Roman" w:hAnsi="Times New Roman"/>
          <w:sz w:val="24"/>
          <w:szCs w:val="24"/>
          <w:lang w:val="mn-MN"/>
        </w:rPr>
        <w:t>эврийн болон өөрөө явагч хэрэгсэлд техникийн хяналтын үзлэг хийсний үндсэн дээр ногдох төлбөрт тохирох ангилалыг тогтоон Автотээврийн хэрэгслийн гэрчилгээнд тэмдэглэл хийнэ.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1.4. Автотээврийн болон өөрөө явагч хэрэгслийг өмчлөгч, эзэмшигч нь "Агаарын бох</w:t>
      </w:r>
      <w:r>
        <w:rPr>
          <w:rFonts w:ascii="Times New Roman" w:eastAsia="Times New Roman" w:hAnsi="Times New Roman"/>
          <w:sz w:val="24"/>
          <w:szCs w:val="24"/>
          <w:lang w:val="mn-MN"/>
        </w:rPr>
        <w:t>ирдлын төлбөрийн тухай" хуулийн 7.3-т заасан ангилалын дагуу агаарын бохирдлын төлбөрийг холбогдох татварын албанд мөн хуулийн 9.3-т заасан хугацаанд багтаан төлнө.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lastRenderedPageBreak/>
        <w:t>Хоёр. Төлбөр тогтоох үйл ажиллагаа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09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2.1. Агаарын бохирдлын төлбөрийн хэмжээг автотээври</w:t>
      </w:r>
      <w:r>
        <w:rPr>
          <w:rFonts w:ascii="Times New Roman" w:eastAsia="Times New Roman" w:hAnsi="Times New Roman"/>
          <w:sz w:val="24"/>
          <w:szCs w:val="24"/>
          <w:lang w:val="mn-MN"/>
        </w:rPr>
        <w:t>йн болон өөрөө явагч хэрэгслээс ялгарах нүүрсхүчлийн хийн хэмжээ, хөдөлгүүрийн багтаамжаас хамааруулан дараахь байдлаар тогтооно: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5"/>
        <w:gridCol w:w="1639"/>
        <w:gridCol w:w="1736"/>
        <w:gridCol w:w="2278"/>
        <w:gridCol w:w="1828"/>
      </w:tblGrid>
      <w:tr w:rsidR="00000000">
        <w:trPr>
          <w:divId w:val="1248688432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Авто тээврийн болон өөрөө явагч хэрэгслийн ангилал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Бензин хөдөлгүүртэй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Дизель хөдөлгүүртэй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Жилд ногдуу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лах төлбөр (төгрөгөөр)</w:t>
            </w:r>
          </w:p>
        </w:tc>
      </w:tr>
      <w:tr w:rsidR="00000000">
        <w:trPr>
          <w:divId w:val="1248688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СО2 хийн ялгарал (г/км)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СО2 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Хөдөлгүүрийн багтаамж (cм3)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121-180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5.5-8.0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1500 хүртэл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1800</w:t>
            </w: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181-250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8.1-10.5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1501-2500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2100</w:t>
            </w: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251-350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10.6 -12.0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2501-3500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3500</w:t>
            </w: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351-500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12.1-13.5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3501-4500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5000</w:t>
            </w: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501-750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13.6 -14.5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4501-5500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7500</w:t>
            </w:r>
          </w:p>
        </w:tc>
      </w:tr>
      <w:tr w:rsidR="00000000">
        <w:trPr>
          <w:divId w:val="1248688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751-ээс дээш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14.6-ээс дээш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5501-ээс дээш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2E0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>9500</w:t>
            </w:r>
          </w:p>
        </w:tc>
      </w:tr>
    </w:tbl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20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2.2. Дараахь тохиолдолд автотээврийн болон өөрөө явагч хэрэгслээс ялгарах нүүрсхүчлийн хийн </w:t>
      </w:r>
      <w:r>
        <w:rPr>
          <w:rFonts w:ascii="Times New Roman" w:eastAsia="Times New Roman" w:hAnsi="Times New Roman"/>
          <w:sz w:val="24"/>
          <w:szCs w:val="24"/>
          <w:lang w:val="mn-MN"/>
        </w:rPr>
        <w:t>хэмжээ, хөдөлгүүрийн багтаамжаас хамааруулан дахин ангилал тогтоолгоно: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20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а/ ажил, үйлчилгээний шаардлагын дагуу эрх бүхий байгууллагын зөвшөөрлөөр автотээврийн болон өөрөө явагч хэрэгсэлийн хөдөлгүүр болон түүний эд ангид нэмэлт, өөрчлөлт хийгдсэн бол;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20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б/ хөдөлгүүрийг сольсон бол;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bookmarkStart w:id="1" w:name="at0005"/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ind w:left="720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lastRenderedPageBreak/>
        <w:t>Гурав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. Бусад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ind w:firstLine="720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3.1. Автотээврийн болон өөрөө явагч хэрэгслээс ялгарах нүүрсхүчлийн хийн хэмжээ, хөдөлгүүрийн багтаамжаас хамааруулан ангилал тогтоохтой холбогдсон маргааныг Агаарын чанарын мэргэжлийн алба хүлээн авч дүгнэлт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гаргах бөгөөд уг дүгнэлтийг үндэслэн харъяалах мэргэжлийн хяналтын байгууллага шийдвэрлэнэ.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bookmarkStart w:id="2" w:name="at0006"/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  <w:bookmarkEnd w:id="2"/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A82E0D">
      <w:pPr>
        <w:spacing w:line="360" w:lineRule="auto"/>
        <w:jc w:val="center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------oOo------</w:t>
      </w:r>
    </w:p>
    <w:p w:rsidR="00000000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A82E0D" w:rsidRDefault="00A82E0D">
      <w:pPr>
        <w:spacing w:line="360" w:lineRule="auto"/>
        <w:jc w:val="both"/>
        <w:divId w:val="1248688432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A8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30F5"/>
    <w:rsid w:val="000930F5"/>
    <w:rsid w:val="00A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2018-03-05T09:55:00Z</dcterms:created>
  <dcterms:modified xsi:type="dcterms:W3CDTF">2018-03-05T09:55:00Z</dcterms:modified>
</cp:coreProperties>
</file>